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720" w:rsidRPr="00A56241" w:rsidRDefault="00400EB1" w:rsidP="00016720">
      <w:pPr>
        <w:spacing w:after="0" w:line="240" w:lineRule="auto"/>
        <w:ind w:left="652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Додаток 1</w:t>
      </w:r>
      <w:r w:rsidR="00016720" w:rsidRPr="00A56241">
        <w:rPr>
          <w:b/>
          <w:sz w:val="26"/>
          <w:szCs w:val="26"/>
        </w:rPr>
        <w:t xml:space="preserve"> </w:t>
      </w:r>
    </w:p>
    <w:p w:rsidR="00016720" w:rsidRDefault="00016720">
      <w:pPr>
        <w:spacing w:after="0" w:line="259" w:lineRule="auto"/>
        <w:ind w:left="550" w:right="540" w:hanging="10"/>
        <w:jc w:val="center"/>
        <w:rPr>
          <w:b/>
        </w:rPr>
      </w:pPr>
      <w:bookmarkStart w:id="0" w:name="_GoBack"/>
      <w:bookmarkEnd w:id="0"/>
    </w:p>
    <w:p w:rsidR="009C425D" w:rsidRDefault="00F947CE">
      <w:pPr>
        <w:spacing w:after="0" w:line="259" w:lineRule="auto"/>
        <w:ind w:left="550" w:right="540" w:hanging="10"/>
        <w:jc w:val="center"/>
      </w:pPr>
      <w:r>
        <w:rPr>
          <w:b/>
        </w:rPr>
        <w:t xml:space="preserve">ТЕХНІЧНЕ ЗАВДАННЯ </w:t>
      </w:r>
    </w:p>
    <w:p w:rsidR="009C425D" w:rsidRDefault="00F947CE">
      <w:pPr>
        <w:spacing w:after="9" w:line="266" w:lineRule="auto"/>
        <w:ind w:left="10" w:right="4" w:hanging="10"/>
      </w:pPr>
      <w:r>
        <w:rPr>
          <w:b/>
        </w:rPr>
        <w:t>Предмет закупівлі: «Апаратура для підтримування фізіологічних функцій організму: ДК 021:20</w:t>
      </w:r>
      <w:r w:rsidR="006E76C1">
        <w:rPr>
          <w:b/>
        </w:rPr>
        <w:t>15</w:t>
      </w:r>
      <w:r>
        <w:rPr>
          <w:b/>
        </w:rPr>
        <w:t xml:space="preserve"> «Єдиний закупівельний словник» - 33180000-5 (33181 - Ендопротез кульшового суглоба цілий з парою тертя метал-поліетилен; 33181 - Ендопротез кульшового суглоба цілий з парою тертя метал-поліетилен; 33665 - Ендопротез колінного суглоба повний із задньою стабілізацією)» </w:t>
      </w:r>
    </w:p>
    <w:p w:rsidR="00016720" w:rsidRPr="00A56241" w:rsidRDefault="00016720" w:rsidP="00016720">
      <w:pPr>
        <w:pStyle w:val="a3"/>
        <w:spacing w:after="40"/>
        <w:ind w:firstLine="709"/>
        <w:rPr>
          <w:iCs/>
          <w:shd w:val="clear" w:color="auto" w:fill="FFFFFF"/>
        </w:rPr>
      </w:pPr>
      <w:r w:rsidRPr="00A56241">
        <w:rPr>
          <w:iCs/>
          <w:shd w:val="clear" w:color="auto" w:fill="FFFFFF"/>
        </w:rPr>
        <w:t>Товар, запропонований Учасником, повинен відповідати медико – технічним вимогам до предмету закупівлі, встановленим у даному додатку та всіх інших вимог.</w:t>
      </w:r>
    </w:p>
    <w:p w:rsidR="009C425D" w:rsidRDefault="00016720" w:rsidP="00016720">
      <w:pPr>
        <w:numPr>
          <w:ilvl w:val="0"/>
          <w:numId w:val="1"/>
        </w:numPr>
        <w:ind w:right="0"/>
      </w:pPr>
      <w:r w:rsidRPr="00A56241">
        <w:rPr>
          <w:iCs/>
          <w:shd w:val="clear" w:color="auto" w:fill="FFFFFF"/>
        </w:rPr>
        <w:t xml:space="preserve">Відповідність технічних характеристик, запропонованого Учасником товару, встановленим медико-технічним вимогам (опис предмета закупівлі), викладеним у даному додатку до Тендерної документації, повинна бути обов’язково підтверджена посиланням на відповідний(і) розділ(и), та/або сторінку(и) технічного документу виробника (експлуатаційної документації: настанови (інструкції) з експлуатації (застосування), або технічного опису чи технічних умов, або ін. документів українською мовою) в якому міститься ця інформація разом з додаванням завірених його копій. Підтвердження відповідності технічних характеристик, запропонованого Учасником товару, встановленим медико-технічним вимогам, надається Учасником у формі заповненої таблиці наведеної </w:t>
      </w:r>
      <w:proofErr w:type="spellStart"/>
      <w:r>
        <w:rPr>
          <w:iCs/>
          <w:shd w:val="clear" w:color="auto" w:fill="FFFFFF"/>
        </w:rPr>
        <w:t>н</w:t>
      </w:r>
      <w:r w:rsidRPr="00A56241">
        <w:rPr>
          <w:iCs/>
          <w:shd w:val="clear" w:color="auto" w:fill="FFFFFF"/>
        </w:rPr>
        <w:t>ище</w:t>
      </w:r>
      <w:proofErr w:type="spellEnd"/>
      <w:r w:rsidRPr="00A56241">
        <w:rPr>
          <w:iCs/>
          <w:shd w:val="clear" w:color="auto" w:fill="FFFFFF"/>
        </w:rPr>
        <w:t>.</w:t>
      </w:r>
      <w:r w:rsidR="00F947CE">
        <w:t xml:space="preserve"> </w:t>
      </w:r>
    </w:p>
    <w:p w:rsidR="00762446" w:rsidRDefault="00762446" w:rsidP="00762446">
      <w:pPr>
        <w:pStyle w:val="a3"/>
        <w:numPr>
          <w:ilvl w:val="0"/>
          <w:numId w:val="1"/>
        </w:numPr>
        <w:spacing w:after="40"/>
        <w:ind w:firstLine="709"/>
        <w:rPr>
          <w:iCs/>
          <w:shd w:val="clear" w:color="auto" w:fill="FFFFFF"/>
        </w:rPr>
      </w:pPr>
      <w:r>
        <w:rPr>
          <w:iCs/>
          <w:shd w:val="clear" w:color="auto" w:fill="FFFFFF"/>
        </w:rPr>
        <w:t>Товар, який запропонований Учасником, повинен бути внесений до Державного реєстру медичної техніки та виробів медичного призначення у передбаченому законодавством порядку та дозволений до застосування в медичній практиці на території України.</w:t>
      </w:r>
    </w:p>
    <w:p w:rsidR="009C425D" w:rsidRPr="00762446" w:rsidRDefault="00762446" w:rsidP="00762446">
      <w:pPr>
        <w:pStyle w:val="a3"/>
        <w:spacing w:after="40"/>
        <w:ind w:firstLine="709"/>
        <w:rPr>
          <w:iCs/>
          <w:shd w:val="clear" w:color="auto" w:fill="FFFFFF"/>
        </w:rPr>
      </w:pPr>
      <w:r w:rsidRPr="00762446">
        <w:rPr>
          <w:iCs/>
          <w:shd w:val="clear" w:color="auto" w:fill="FFFFFF"/>
        </w:rPr>
        <w:t>На підтвердження Учасник повинен надати копію(ї) документів, що підтверджують  можливість введення в обіг та/або експлуатацію (застосування) медичного виробу в цілому або його комплектуючих, відповідно до вимог чинного законодавства, а саме копія сертифікату про відповідність вимогам технічному регламенту щодо медичних виробів або декларації про відповідність.</w:t>
      </w:r>
    </w:p>
    <w:p w:rsidR="009C425D" w:rsidRDefault="00F947CE">
      <w:pPr>
        <w:numPr>
          <w:ilvl w:val="0"/>
          <w:numId w:val="1"/>
        </w:numPr>
        <w:ind w:right="0"/>
      </w:pPr>
      <w:r>
        <w:t xml:space="preserve"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</w:t>
      </w:r>
    </w:p>
    <w:p w:rsidR="009C425D" w:rsidRDefault="00F947CE">
      <w:pPr>
        <w:ind w:left="-15" w:right="0"/>
      </w:pPr>
      <w:r>
        <w:t xml:space="preserve">На підтвердження Учасник повинен надати оригінал гарантійного листа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номенклатурі, кількості та в терміни, визначені цією Документацією та пропозицією Учасника. В листі вказується назва замовника торгів, номер оголошення, предмет закупівлі згідно оголошення. Вказані документи надаються українською мовою, в разі якщо, документ написано іноземною мовою, також надається нотаріально посвідчений переклад. </w:t>
      </w:r>
    </w:p>
    <w:p w:rsidR="009C425D" w:rsidRDefault="00F947CE">
      <w:pPr>
        <w:spacing w:after="16" w:line="259" w:lineRule="auto"/>
        <w:ind w:left="705" w:right="0" w:firstLine="0"/>
        <w:jc w:val="left"/>
      </w:pPr>
      <w:r>
        <w:rPr>
          <w:b/>
        </w:rPr>
        <w:t xml:space="preserve"> </w:t>
      </w:r>
    </w:p>
    <w:p w:rsidR="009C425D" w:rsidRDefault="00F947CE">
      <w:pPr>
        <w:spacing w:after="0" w:line="259" w:lineRule="auto"/>
        <w:ind w:left="550" w:right="0" w:hanging="10"/>
        <w:jc w:val="center"/>
      </w:pPr>
      <w:r>
        <w:rPr>
          <w:b/>
        </w:rPr>
        <w:t xml:space="preserve">МЕДИКО-ТЕХНІЧНІ ВИМОГИ </w:t>
      </w:r>
    </w:p>
    <w:p w:rsidR="009C425D" w:rsidRDefault="00F947CE">
      <w:pPr>
        <w:spacing w:after="0" w:line="259" w:lineRule="auto"/>
        <w:ind w:left="54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0405" w:type="dxa"/>
        <w:tblInd w:w="503" w:type="dxa"/>
        <w:tblCellMar>
          <w:top w:w="64" w:type="dxa"/>
          <w:left w:w="97" w:type="dxa"/>
          <w:right w:w="39" w:type="dxa"/>
        </w:tblCellMar>
        <w:tblLook w:val="04A0" w:firstRow="1" w:lastRow="0" w:firstColumn="1" w:lastColumn="0" w:noHBand="0" w:noVBand="1"/>
      </w:tblPr>
      <w:tblGrid>
        <w:gridCol w:w="529"/>
        <w:gridCol w:w="3454"/>
        <w:gridCol w:w="3185"/>
        <w:gridCol w:w="1517"/>
        <w:gridCol w:w="1720"/>
      </w:tblGrid>
      <w:tr w:rsidR="00016720" w:rsidTr="00A92F36">
        <w:trPr>
          <w:trHeight w:val="720"/>
        </w:trPr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720" w:rsidRDefault="00016720" w:rsidP="00016720">
            <w:pPr>
              <w:spacing w:after="16" w:line="259" w:lineRule="auto"/>
              <w:ind w:left="52" w:right="0" w:firstLine="0"/>
              <w:jc w:val="center"/>
            </w:pPr>
            <w:r>
              <w:rPr>
                <w:b/>
              </w:rPr>
              <w:t>№</w:t>
            </w:r>
          </w:p>
          <w:p w:rsidR="00016720" w:rsidRDefault="00016720" w:rsidP="00016720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720" w:rsidRDefault="00016720" w:rsidP="00016720">
            <w:pPr>
              <w:spacing w:after="0" w:line="259" w:lineRule="auto"/>
              <w:ind w:right="129" w:firstLine="0"/>
              <w:jc w:val="center"/>
            </w:pPr>
            <w:r>
              <w:rPr>
                <w:b/>
              </w:rPr>
              <w:t>Назва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720" w:rsidRDefault="00016720" w:rsidP="00016720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>Назва та код НК 024:2023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720" w:rsidRPr="001A7FC3" w:rsidRDefault="00016720" w:rsidP="00016720">
            <w:pPr>
              <w:spacing w:after="40" w:line="240" w:lineRule="auto"/>
              <w:ind w:firstLine="0"/>
              <w:jc w:val="center"/>
              <w:rPr>
                <w:b/>
                <w:szCs w:val="24"/>
              </w:rPr>
            </w:pPr>
            <w:r w:rsidRPr="001A7FC3">
              <w:rPr>
                <w:b/>
                <w:i/>
                <w:color w:val="000000" w:themeColor="text1"/>
                <w:szCs w:val="24"/>
              </w:rPr>
              <w:t>Одиниця виміру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720" w:rsidRPr="001A7FC3" w:rsidRDefault="00016720" w:rsidP="00016720">
            <w:pPr>
              <w:spacing w:after="40" w:line="240" w:lineRule="auto"/>
              <w:ind w:firstLine="0"/>
              <w:jc w:val="center"/>
              <w:rPr>
                <w:b/>
                <w:szCs w:val="24"/>
              </w:rPr>
            </w:pPr>
            <w:r w:rsidRPr="001A7FC3">
              <w:rPr>
                <w:b/>
                <w:i/>
                <w:color w:val="000000" w:themeColor="text1"/>
                <w:szCs w:val="24"/>
              </w:rPr>
              <w:t>Кількість</w:t>
            </w:r>
          </w:p>
        </w:tc>
      </w:tr>
      <w:tr w:rsidR="00016720" w:rsidTr="00762446">
        <w:trPr>
          <w:trHeight w:val="880"/>
        </w:trPr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720" w:rsidRDefault="00016720">
            <w:pPr>
              <w:spacing w:after="0" w:line="259" w:lineRule="auto"/>
              <w:ind w:right="0" w:firstLine="0"/>
              <w:jc w:val="left"/>
            </w:pPr>
            <w:r>
              <w:t xml:space="preserve">1 </w:t>
            </w:r>
          </w:p>
        </w:tc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720" w:rsidRDefault="00016720">
            <w:pPr>
              <w:spacing w:after="0" w:line="259" w:lineRule="auto"/>
              <w:ind w:left="15" w:right="0" w:firstLine="0"/>
              <w:jc w:val="left"/>
            </w:pPr>
            <w:r>
              <w:t xml:space="preserve">Тотальні ендопротези кульшового суглобу цементної фіксації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720" w:rsidRDefault="00016720">
            <w:pPr>
              <w:spacing w:after="0" w:line="259" w:lineRule="auto"/>
              <w:ind w:right="0" w:firstLine="0"/>
              <w:jc w:val="center"/>
            </w:pPr>
            <w:r>
              <w:t xml:space="preserve">33181 - Ендопротез кульшового суглоба цілий з парою тертя метал-поліетилен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720" w:rsidRDefault="00762446" w:rsidP="00762446">
            <w:pPr>
              <w:spacing w:after="0" w:line="259" w:lineRule="auto"/>
              <w:ind w:left="126" w:right="-20" w:firstLine="0"/>
              <w:jc w:val="center"/>
            </w:pPr>
            <w:proofErr w:type="spellStart"/>
            <w:r>
              <w:t>К</w:t>
            </w:r>
            <w:r w:rsidR="00016720">
              <w:t>омплет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720" w:rsidRDefault="00016720" w:rsidP="00A92F36">
            <w:pPr>
              <w:spacing w:after="0" w:line="259" w:lineRule="auto"/>
              <w:ind w:right="-20" w:firstLine="0"/>
              <w:jc w:val="center"/>
            </w:pPr>
            <w:r>
              <w:t>14</w:t>
            </w:r>
          </w:p>
        </w:tc>
      </w:tr>
      <w:tr w:rsidR="00016720" w:rsidTr="00762446">
        <w:trPr>
          <w:trHeight w:val="900"/>
        </w:trPr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720" w:rsidRDefault="00016720">
            <w:pPr>
              <w:spacing w:after="0" w:line="259" w:lineRule="auto"/>
              <w:ind w:right="0" w:firstLine="0"/>
              <w:jc w:val="left"/>
            </w:pPr>
            <w:r>
              <w:t xml:space="preserve">2 </w:t>
            </w:r>
          </w:p>
        </w:tc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720" w:rsidRDefault="00016720">
            <w:pPr>
              <w:spacing w:after="0" w:line="259" w:lineRule="auto"/>
              <w:ind w:left="15" w:right="0" w:firstLine="0"/>
              <w:jc w:val="left"/>
            </w:pPr>
            <w:r>
              <w:t xml:space="preserve">Тотальні ендопротези кульшового суглобу </w:t>
            </w:r>
            <w:proofErr w:type="spellStart"/>
            <w:r>
              <w:t>безцементної</w:t>
            </w:r>
            <w:proofErr w:type="spellEnd"/>
            <w:r>
              <w:t xml:space="preserve"> фіксації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720" w:rsidRDefault="00016720">
            <w:pPr>
              <w:spacing w:after="0" w:line="259" w:lineRule="auto"/>
              <w:ind w:right="0" w:firstLine="0"/>
              <w:jc w:val="center"/>
            </w:pPr>
            <w:r>
              <w:t xml:space="preserve">33181 - Ендопротез кульшового суглоба цілий з парою тертя метал-поліетилен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720" w:rsidRDefault="00762446" w:rsidP="00762446">
            <w:pPr>
              <w:ind w:left="126" w:right="-20" w:firstLine="0"/>
              <w:jc w:val="center"/>
            </w:pPr>
            <w:proofErr w:type="spellStart"/>
            <w:r w:rsidRPr="009C7A56">
              <w:t>К</w:t>
            </w:r>
            <w:r w:rsidR="00016720" w:rsidRPr="009C7A56">
              <w:t>омплет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720" w:rsidRDefault="00016720" w:rsidP="00A92F36">
            <w:pPr>
              <w:spacing w:after="0" w:line="259" w:lineRule="auto"/>
              <w:ind w:right="-20" w:firstLine="0"/>
              <w:jc w:val="center"/>
            </w:pPr>
            <w:r>
              <w:t>16</w:t>
            </w:r>
          </w:p>
        </w:tc>
      </w:tr>
      <w:tr w:rsidR="00016720" w:rsidTr="00762446">
        <w:trPr>
          <w:trHeight w:val="880"/>
        </w:trPr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720" w:rsidRDefault="00016720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720" w:rsidRDefault="00016720">
            <w:pPr>
              <w:spacing w:after="0" w:line="259" w:lineRule="auto"/>
              <w:ind w:left="15" w:right="0" w:firstLine="0"/>
              <w:jc w:val="left"/>
            </w:pPr>
            <w:r>
              <w:t xml:space="preserve">Тотальні ендопротези колінного суглобу цементної фіксації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720" w:rsidRDefault="00016720">
            <w:pPr>
              <w:spacing w:after="0" w:line="238" w:lineRule="auto"/>
              <w:ind w:right="0" w:firstLine="0"/>
              <w:jc w:val="center"/>
            </w:pPr>
            <w:r>
              <w:t xml:space="preserve">33665 - Ендопротез колінного суглоба повний із задньою </w:t>
            </w:r>
          </w:p>
          <w:p w:rsidR="00016720" w:rsidRDefault="00016720">
            <w:pPr>
              <w:spacing w:after="0" w:line="259" w:lineRule="auto"/>
              <w:ind w:right="64" w:firstLine="0"/>
              <w:jc w:val="center"/>
            </w:pPr>
            <w:r>
              <w:t xml:space="preserve">стабілізацією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720" w:rsidRPr="00762446" w:rsidRDefault="00762446" w:rsidP="00762446">
            <w:pPr>
              <w:ind w:left="126" w:right="-20" w:hanging="16"/>
              <w:jc w:val="center"/>
            </w:pPr>
            <w:proofErr w:type="spellStart"/>
            <w:r w:rsidRPr="009C7A56">
              <w:t>К</w:t>
            </w:r>
            <w:r>
              <w:t>омплет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720" w:rsidRDefault="00016720" w:rsidP="00A92F36">
            <w:pPr>
              <w:spacing w:after="0" w:line="259" w:lineRule="auto"/>
              <w:ind w:right="-20" w:firstLine="0"/>
              <w:jc w:val="center"/>
            </w:pPr>
            <w:r>
              <w:t>2</w:t>
            </w:r>
          </w:p>
        </w:tc>
      </w:tr>
    </w:tbl>
    <w:p w:rsidR="00016720" w:rsidRDefault="00F947CE">
      <w:pPr>
        <w:spacing w:after="0" w:line="259" w:lineRule="auto"/>
        <w:ind w:left="65" w:right="0" w:firstLine="0"/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         </w:t>
      </w:r>
    </w:p>
    <w:p w:rsidR="00016720" w:rsidRDefault="00016720" w:rsidP="00016720">
      <w:pPr>
        <w:spacing w:after="0" w:line="259" w:lineRule="auto"/>
        <w:ind w:left="65" w:right="0" w:firstLine="0"/>
        <w:jc w:val="center"/>
        <w:rPr>
          <w:b/>
          <w:sz w:val="26"/>
        </w:rPr>
      </w:pPr>
      <w:r>
        <w:rPr>
          <w:rFonts w:eastAsia="Calibri"/>
          <w:b/>
          <w:szCs w:val="24"/>
        </w:rPr>
        <w:t>ВИМОГИ ДО КОМПЛЕКТАЦІЇ</w:t>
      </w:r>
      <w:r w:rsidR="00F947CE">
        <w:rPr>
          <w:b/>
          <w:sz w:val="26"/>
        </w:rPr>
        <w:t xml:space="preserve">        </w:t>
      </w:r>
    </w:p>
    <w:p w:rsidR="00016720" w:rsidRDefault="00016720" w:rsidP="00016720">
      <w:pPr>
        <w:spacing w:after="40" w:line="240" w:lineRule="auto"/>
        <w:jc w:val="center"/>
        <w:rPr>
          <w:rFonts w:eastAsia="Calibri"/>
          <w:b/>
          <w:szCs w:val="24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016720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16720" w:rsidRDefault="00016720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 xml:space="preserve">1.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16720" w:rsidRDefault="00016720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/>
                <w:szCs w:val="24"/>
              </w:rPr>
              <w:t>Тотальні ендопротези кульшового суглобу цементної фіксації</w:t>
            </w:r>
          </w:p>
        </w:tc>
      </w:tr>
      <w:tr w:rsidR="00016720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16720" w:rsidRDefault="00016720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1.1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16720" w:rsidRDefault="00016720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Ендопротези  повинні мати кількість типорозмірів, які відповідають антропологічним характеристикам людини та складатися з:</w:t>
            </w:r>
          </w:p>
          <w:p w:rsidR="00016720" w:rsidRDefault="00016720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- Ніжки цементної – 1 шт.;</w:t>
            </w:r>
          </w:p>
          <w:p w:rsidR="00016720" w:rsidRDefault="00016720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proofErr w:type="spellStart"/>
            <w:r>
              <w:rPr>
                <w:bCs/>
                <w:szCs w:val="24"/>
              </w:rPr>
              <w:t>Централізатору</w:t>
            </w:r>
            <w:proofErr w:type="spellEnd"/>
            <w:r>
              <w:rPr>
                <w:bCs/>
                <w:szCs w:val="24"/>
              </w:rPr>
              <w:t xml:space="preserve"> ніжки – 1 шт.;</w:t>
            </w:r>
          </w:p>
          <w:p w:rsidR="00016720" w:rsidRDefault="00016720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- Стегнової голівки – 1 шт.;</w:t>
            </w:r>
          </w:p>
          <w:p w:rsidR="00016720" w:rsidRDefault="00016720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- Чашки цементної – 1 шт.;</w:t>
            </w:r>
          </w:p>
          <w:p w:rsidR="00016720" w:rsidRDefault="00016720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bCs/>
                <w:szCs w:val="24"/>
              </w:rPr>
              <w:t>- Кісткового цементу з антибіотиком – 2 порції по 40 гр.</w:t>
            </w:r>
          </w:p>
        </w:tc>
      </w:tr>
      <w:tr w:rsidR="00016720" w:rsidTr="0076244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16720" w:rsidRDefault="00016720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2.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6720" w:rsidRDefault="00016720" w:rsidP="00762446">
            <w:pPr>
              <w:spacing w:after="0" w:line="240" w:lineRule="auto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 xml:space="preserve">Тотальні ендопротези кульшового суглобу </w:t>
            </w:r>
            <w:proofErr w:type="spellStart"/>
            <w:r>
              <w:rPr>
                <w:b/>
                <w:szCs w:val="24"/>
              </w:rPr>
              <w:t>безцементної</w:t>
            </w:r>
            <w:proofErr w:type="spellEnd"/>
            <w:r>
              <w:rPr>
                <w:b/>
                <w:szCs w:val="24"/>
              </w:rPr>
              <w:t xml:space="preserve"> фіксації</w:t>
            </w:r>
          </w:p>
        </w:tc>
      </w:tr>
      <w:tr w:rsidR="00016720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16720" w:rsidRDefault="00016720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2.1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16720" w:rsidRDefault="00016720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Ендопротези повинні мати кількість типорозмірів, які відповідають антропологічним характеристикам людини і складатися з:</w:t>
            </w:r>
          </w:p>
          <w:p w:rsidR="00016720" w:rsidRDefault="00016720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Ніжки </w:t>
            </w:r>
            <w:proofErr w:type="spellStart"/>
            <w:r>
              <w:rPr>
                <w:bCs/>
                <w:szCs w:val="24"/>
              </w:rPr>
              <w:t>безцементної</w:t>
            </w:r>
            <w:proofErr w:type="spellEnd"/>
            <w:r>
              <w:rPr>
                <w:bCs/>
                <w:szCs w:val="24"/>
              </w:rPr>
              <w:t xml:space="preserve"> – 1 шт.;</w:t>
            </w:r>
          </w:p>
          <w:p w:rsidR="00016720" w:rsidRDefault="00016720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- Стегнової голівки – 1 шт.;</w:t>
            </w:r>
          </w:p>
          <w:p w:rsidR="00016720" w:rsidRDefault="00016720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</w:t>
            </w:r>
            <w:proofErr w:type="spellStart"/>
            <w:r>
              <w:rPr>
                <w:bCs/>
                <w:szCs w:val="24"/>
              </w:rPr>
              <w:t>Безцементної</w:t>
            </w:r>
            <w:proofErr w:type="spellEnd"/>
            <w:r>
              <w:rPr>
                <w:bCs/>
                <w:szCs w:val="24"/>
              </w:rPr>
              <w:t xml:space="preserve"> чашки – 1 шт.;</w:t>
            </w:r>
          </w:p>
          <w:p w:rsidR="00016720" w:rsidRDefault="00016720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Вкладки </w:t>
            </w:r>
            <w:proofErr w:type="spellStart"/>
            <w:r>
              <w:rPr>
                <w:bCs/>
                <w:szCs w:val="24"/>
              </w:rPr>
              <w:t>безцементної</w:t>
            </w:r>
            <w:proofErr w:type="spellEnd"/>
            <w:r>
              <w:rPr>
                <w:bCs/>
                <w:szCs w:val="24"/>
              </w:rPr>
              <w:t xml:space="preserve">  чашки – 1 шт.;</w:t>
            </w:r>
          </w:p>
          <w:p w:rsidR="00016720" w:rsidRDefault="00016720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bCs/>
                <w:szCs w:val="24"/>
              </w:rPr>
              <w:t xml:space="preserve">- Фіксаційного гвинта </w:t>
            </w:r>
            <w:proofErr w:type="spellStart"/>
            <w:r>
              <w:rPr>
                <w:bCs/>
                <w:szCs w:val="24"/>
              </w:rPr>
              <w:t>спонгіозного</w:t>
            </w:r>
            <w:proofErr w:type="spellEnd"/>
            <w:r>
              <w:rPr>
                <w:bCs/>
                <w:szCs w:val="24"/>
              </w:rPr>
              <w:t xml:space="preserve"> – 2 шт.</w:t>
            </w:r>
          </w:p>
        </w:tc>
      </w:tr>
      <w:tr w:rsidR="00016720" w:rsidTr="0076244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16720" w:rsidRDefault="00016720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6720" w:rsidRDefault="00016720" w:rsidP="00762446">
            <w:pPr>
              <w:spacing w:after="0" w:line="240" w:lineRule="auto"/>
              <w:contextualSpacing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Тотальні ендопротези колінного суглобу цементної фіксації</w:t>
            </w:r>
          </w:p>
        </w:tc>
      </w:tr>
      <w:tr w:rsidR="00016720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16720" w:rsidRDefault="00016720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3.1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16720" w:rsidRDefault="00016720" w:rsidP="00963B71">
            <w:pPr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>Ендопротези повинні мати кількість типорозмірів, які відповідають антропологічним характеристикам людини і складатися з:</w:t>
            </w:r>
          </w:p>
          <w:p w:rsidR="00016720" w:rsidRDefault="00016720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  <w:t>Стегнового компоненту – 1 шт.;</w:t>
            </w:r>
          </w:p>
          <w:p w:rsidR="00016720" w:rsidRDefault="00016720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  <w:t>Металевого плато гомілкового компоненту – 1 шт.;</w:t>
            </w:r>
          </w:p>
          <w:p w:rsidR="00016720" w:rsidRDefault="00016720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  <w:t>Вставки гомілкового компоненту – 1 шт.;</w:t>
            </w:r>
          </w:p>
          <w:p w:rsidR="00016720" w:rsidRDefault="00016720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>- Кісткового цементу з антибіотиком – 1 порція  по 40 гр.</w:t>
            </w:r>
          </w:p>
        </w:tc>
      </w:tr>
    </w:tbl>
    <w:p w:rsidR="009C425D" w:rsidRDefault="00F947CE" w:rsidP="00016720">
      <w:pPr>
        <w:spacing w:after="0" w:line="259" w:lineRule="auto"/>
        <w:ind w:left="65" w:right="0" w:firstLine="0"/>
        <w:jc w:val="center"/>
      </w:pPr>
      <w:r>
        <w:rPr>
          <w:b/>
          <w:sz w:val="26"/>
        </w:rPr>
        <w:t xml:space="preserve">                                                             </w:t>
      </w:r>
    </w:p>
    <w:p w:rsidR="00016720" w:rsidRDefault="00016720" w:rsidP="00016720">
      <w:pPr>
        <w:spacing w:after="40" w:line="240" w:lineRule="auto"/>
        <w:jc w:val="center"/>
        <w:rPr>
          <w:rFonts w:eastAsia="Calibri"/>
          <w:b/>
          <w:szCs w:val="24"/>
        </w:rPr>
      </w:pPr>
      <w:r w:rsidRPr="00A56241">
        <w:rPr>
          <w:rFonts w:eastAsia="Calibri"/>
          <w:b/>
          <w:szCs w:val="24"/>
        </w:rPr>
        <w:t>МЕДИКО-ТЕХНІЧНІ ВИМОГИ</w:t>
      </w:r>
    </w:p>
    <w:p w:rsidR="00016720" w:rsidRDefault="00016720">
      <w:pPr>
        <w:spacing w:after="9" w:line="266" w:lineRule="auto"/>
        <w:ind w:left="655" w:right="1162" w:hanging="10"/>
        <w:rPr>
          <w:b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61"/>
        <w:gridCol w:w="2962"/>
      </w:tblGrid>
      <w:tr w:rsidR="00A92F36" w:rsidTr="00963B71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№ п/п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Спеціальні медико-технічні вимоги</w:t>
            </w:r>
          </w:p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Відповідність медико-технічним вимогам </w:t>
            </w: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 xml:space="preserve">1. 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/>
                <w:szCs w:val="24"/>
              </w:rPr>
              <w:t>Тотальні ендопротези кульшового суглобу цементної фіксації</w:t>
            </w: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1.1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Замовник за своїми потребами має право вибрати будь-які типорозміри компонентів ендопротезів  у  необхідних кількостях.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Цементна чашка та голівка при необхідності замінюються на діаметр  32, 28 або 22 мм.   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Компоненти ендопротезів мають постачатися в стерильній упаковці зі строком стерильності не менше 5 років.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Ендопротези повинні бути виготовлені з матеріалів згідно з міжнародними стандартами ISO з біологічно інертних, </w:t>
            </w:r>
            <w:r>
              <w:rPr>
                <w:bCs/>
                <w:szCs w:val="24"/>
              </w:rPr>
              <w:lastRenderedPageBreak/>
              <w:t>немагнітних, корозійностійких, міцних матеріалів.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Кістковий цемент повинен бути виготовлений  з матеріалів згідно з міжнародними стандартами ISO.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>Операційна техніка має бути простою, мінімально травматичною. Забезпечувати надійну імплантацію і стабільну фіксацію всіх запропонованих компонентів кульшового суглобу.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1.2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Вимоги до цементної ніжки: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 xml:space="preserve">Ніжка цементна повинна бути виготовлена із кобальт-хромового сплаву, який має бути біологічно-інертним, не магнітним матеріалом. </w:t>
            </w:r>
            <w:proofErr w:type="spellStart"/>
            <w:r>
              <w:rPr>
                <w:bCs/>
                <w:szCs w:val="24"/>
              </w:rPr>
              <w:t>Шийно-діафізарний</w:t>
            </w:r>
            <w:proofErr w:type="spellEnd"/>
            <w:r>
              <w:rPr>
                <w:bCs/>
                <w:szCs w:val="24"/>
              </w:rPr>
              <w:t xml:space="preserve"> кут має становити 135° та фіксуватися в </w:t>
            </w:r>
            <w:proofErr w:type="spellStart"/>
            <w:r>
              <w:rPr>
                <w:bCs/>
                <w:szCs w:val="24"/>
              </w:rPr>
              <w:t>інтрамедулярному</w:t>
            </w:r>
            <w:proofErr w:type="spellEnd"/>
            <w:r>
              <w:rPr>
                <w:bCs/>
                <w:szCs w:val="24"/>
              </w:rPr>
              <w:t xml:space="preserve"> каналі за </w:t>
            </w:r>
            <w:proofErr w:type="spellStart"/>
            <w:r>
              <w:rPr>
                <w:bCs/>
                <w:szCs w:val="24"/>
              </w:rPr>
              <w:t>домопогою</w:t>
            </w:r>
            <w:proofErr w:type="spellEnd"/>
            <w:r>
              <w:rPr>
                <w:bCs/>
                <w:szCs w:val="24"/>
              </w:rPr>
              <w:t xml:space="preserve"> кісткового цементу. Конус ніжки повинен бути 12/14 та мати рельєфну поверхню для кращої фіксації голівки. Вона повинна мати не менше 7 типорозмірів по довжині. Довжина ніжки повинна бути не менша 145 мм та не більше 170,6 мм. Її поверхня повинна бути відполірована до дзеркального блиску.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1.3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szCs w:val="24"/>
              </w:rPr>
            </w:pPr>
            <w:r>
              <w:rPr>
                <w:szCs w:val="24"/>
              </w:rPr>
              <w:t xml:space="preserve">Вимоги до </w:t>
            </w:r>
            <w:proofErr w:type="spellStart"/>
            <w:r>
              <w:rPr>
                <w:szCs w:val="24"/>
              </w:rPr>
              <w:t>централізатора</w:t>
            </w:r>
            <w:proofErr w:type="spellEnd"/>
            <w:r>
              <w:rPr>
                <w:szCs w:val="24"/>
              </w:rPr>
              <w:t xml:space="preserve"> ніжки: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  <w:highlight w:val="yellow"/>
              </w:rPr>
            </w:pPr>
            <w:proofErr w:type="spellStart"/>
            <w:r>
              <w:rPr>
                <w:bCs/>
                <w:szCs w:val="24"/>
              </w:rPr>
              <w:t>Централізатор</w:t>
            </w:r>
            <w:proofErr w:type="spellEnd"/>
            <w:r>
              <w:rPr>
                <w:bCs/>
                <w:szCs w:val="24"/>
              </w:rPr>
              <w:t xml:space="preserve"> ніжки повинен фіксуватися в отворі нижньої частини ніжки для її </w:t>
            </w:r>
            <w:proofErr w:type="spellStart"/>
            <w:r>
              <w:rPr>
                <w:bCs/>
                <w:szCs w:val="24"/>
              </w:rPr>
              <w:t>центрації</w:t>
            </w:r>
            <w:proofErr w:type="spellEnd"/>
            <w:r>
              <w:rPr>
                <w:bCs/>
                <w:szCs w:val="24"/>
              </w:rPr>
              <w:t xml:space="preserve"> та рівномірного розподілу кісткового цементу. Він повинен мати не менше 7 типорозмірів відповідно до  діаметру ніжки ендопротезу і бути виготовленим з високомолекулярного поліетилену.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1.4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Вимоги до голівки стегнової: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  <w:highlight w:val="yellow"/>
              </w:rPr>
            </w:pPr>
            <w:r>
              <w:rPr>
                <w:bCs/>
                <w:szCs w:val="24"/>
              </w:rPr>
              <w:t xml:space="preserve">Стегнова голівка діаметром 22, 28 та 32 мм повинна бути виготовлена з кобальтового сплаву </w:t>
            </w:r>
            <w:proofErr w:type="spellStart"/>
            <w:r>
              <w:rPr>
                <w:bCs/>
                <w:szCs w:val="24"/>
              </w:rPr>
              <w:t>CoCrMo</w:t>
            </w:r>
            <w:proofErr w:type="spellEnd"/>
            <w:r>
              <w:rPr>
                <w:bCs/>
                <w:szCs w:val="24"/>
              </w:rPr>
              <w:t>, має мати внутрішній конус 12/14 мм. Голівка діаметром 22 мм має бути виготовлена у 3-х глибинах конуса (0, +4 та +8 мм), а голівки 28 та 32 мм мають бути виготовлені у 5-ти глибинах конуса (-3, 0,+4,+8 та +12 мм.) Поверхня голівки повинна бути  відполірована до дзеркального блиску.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1.5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Вимоги до цементної чашки: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Цементна чашка повинна бути виготовлена з </w:t>
            </w:r>
            <w:proofErr w:type="spellStart"/>
            <w:r>
              <w:rPr>
                <w:bCs/>
                <w:szCs w:val="24"/>
              </w:rPr>
              <w:t>крослінку</w:t>
            </w:r>
            <w:proofErr w:type="spellEnd"/>
            <w:r>
              <w:rPr>
                <w:bCs/>
                <w:szCs w:val="24"/>
              </w:rPr>
              <w:t xml:space="preserve">, який є високомолекулярним поліетиленом. Вона повинна мати розмір внутрішнього діаметру посадкового місця 22, 28 та 32 мм.  Має мати рентген контрастне кільце і виступи по зовнішній поверхні для створення рівномірного шару цементної мантії та забезпечення </w:t>
            </w:r>
            <w:proofErr w:type="spellStart"/>
            <w:r>
              <w:rPr>
                <w:bCs/>
                <w:szCs w:val="24"/>
              </w:rPr>
              <w:t>пресузурації</w:t>
            </w:r>
            <w:proofErr w:type="spellEnd"/>
            <w:r>
              <w:rPr>
                <w:bCs/>
                <w:szCs w:val="24"/>
              </w:rPr>
              <w:t xml:space="preserve"> цементу. Цементна чашка повинна мати 10 типорозмірів від 42 мм до 60 мм в діаметрі з кроком 2 мм, в залежності від розміру внутрішнього посадкового місця чашка повинна мати для 22 мм 3 </w:t>
            </w:r>
            <w:proofErr w:type="spellStart"/>
            <w:r>
              <w:rPr>
                <w:bCs/>
                <w:szCs w:val="24"/>
              </w:rPr>
              <w:t>типорозміра</w:t>
            </w:r>
            <w:proofErr w:type="spellEnd"/>
            <w:r>
              <w:rPr>
                <w:bCs/>
                <w:szCs w:val="24"/>
              </w:rPr>
              <w:t>, від 42 до 46 мм, 28 мм 10 типорозмірів, від 42 до 60 мм та 32 мм 8 типорозмірів, від 46 до 60 мм. Вона повинна бути двох видів - «стандарт» та «офсет 10°».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1.6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Вимоги до кісткового цементу: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Кістковий цемент повинен використовуватися для операцій з </w:t>
            </w:r>
            <w:proofErr w:type="spellStart"/>
            <w:r>
              <w:rPr>
                <w:bCs/>
                <w:szCs w:val="24"/>
              </w:rPr>
              <w:t>імплантування</w:t>
            </w:r>
            <w:proofErr w:type="spellEnd"/>
            <w:r>
              <w:rPr>
                <w:bCs/>
                <w:szCs w:val="24"/>
              </w:rPr>
              <w:t xml:space="preserve"> суглобів. Кістковий цемент повинен складатися з двох компонентів, а саме, з суміші рідкого мономеру (20 мл) і </w:t>
            </w:r>
            <w:proofErr w:type="spellStart"/>
            <w:r>
              <w:rPr>
                <w:bCs/>
                <w:szCs w:val="24"/>
              </w:rPr>
              <w:t>кополімеру</w:t>
            </w:r>
            <w:proofErr w:type="spellEnd"/>
            <w:r>
              <w:rPr>
                <w:bCs/>
                <w:szCs w:val="24"/>
              </w:rPr>
              <w:t xml:space="preserve"> у вигляді порошку (40 г), які повинні бути упаковані, як два окремих стерильних компонента. До складу кісткового цементу повинні входити </w:t>
            </w:r>
            <w:proofErr w:type="spellStart"/>
            <w:r>
              <w:rPr>
                <w:bCs/>
                <w:szCs w:val="24"/>
              </w:rPr>
              <w:t>рентгеноконтрасна</w:t>
            </w:r>
            <w:proofErr w:type="spellEnd"/>
            <w:r>
              <w:rPr>
                <w:bCs/>
                <w:szCs w:val="24"/>
              </w:rPr>
              <w:t xml:space="preserve"> речовина та антибіотик.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2</w:t>
            </w:r>
            <w:r>
              <w:rPr>
                <w:b/>
                <w:bCs/>
                <w:color w:val="000000" w:themeColor="text1"/>
                <w:szCs w:val="24"/>
              </w:rPr>
              <w:lastRenderedPageBreak/>
              <w:t>.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Тотальні ендопротези кульшового суглобу </w:t>
            </w:r>
            <w:proofErr w:type="spellStart"/>
            <w:r>
              <w:rPr>
                <w:b/>
                <w:szCs w:val="24"/>
              </w:rPr>
              <w:t>безцементної</w:t>
            </w:r>
            <w:proofErr w:type="spellEnd"/>
            <w:r>
              <w:rPr>
                <w:b/>
                <w:szCs w:val="24"/>
              </w:rPr>
              <w:t xml:space="preserve"> фіксації</w:t>
            </w: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2.1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Замовник за своїми потребами має право вибрати будь-які типорозміри компонентів ендопротезів  у  необхідних кількостях.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Компоненти ендопротезів мають постачатися в стерильній упаковці зі строком стерильності не менше 5 років.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Ендопротези повинні бути виготовлені з матеріалів згідно з міжнародними стандартами ISO з біологічно інертних, немагнітних, корозійностійких, міцних матеріалів.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Операційна техніка повинна бути мінімально травматичною, сучасною і забезпечувати стабільну фіксацію всіх компонентів кульшового суглобу з можливістю використання інструментів для </w:t>
            </w:r>
            <w:proofErr w:type="spellStart"/>
            <w:r>
              <w:rPr>
                <w:bCs/>
                <w:szCs w:val="24"/>
              </w:rPr>
              <w:t>малоінвазивного</w:t>
            </w:r>
            <w:proofErr w:type="spellEnd"/>
            <w:r>
              <w:rPr>
                <w:bCs/>
                <w:szCs w:val="24"/>
              </w:rPr>
              <w:t xml:space="preserve"> доступу, що забезпечить  якісну та швидку реабілітацію пацієнтів.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2.1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Вимоги до </w:t>
            </w:r>
            <w:proofErr w:type="spellStart"/>
            <w:r>
              <w:rPr>
                <w:bCs/>
                <w:szCs w:val="24"/>
              </w:rPr>
              <w:t>безцементної</w:t>
            </w:r>
            <w:proofErr w:type="spellEnd"/>
            <w:r>
              <w:rPr>
                <w:bCs/>
                <w:szCs w:val="24"/>
              </w:rPr>
              <w:t xml:space="preserve"> ніжки: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Ніжка </w:t>
            </w:r>
            <w:proofErr w:type="spellStart"/>
            <w:r>
              <w:rPr>
                <w:bCs/>
                <w:szCs w:val="24"/>
              </w:rPr>
              <w:t>безцементна</w:t>
            </w:r>
            <w:proofErr w:type="spellEnd"/>
            <w:r>
              <w:rPr>
                <w:bCs/>
                <w:szCs w:val="24"/>
              </w:rPr>
              <w:t xml:space="preserve"> повинна бути виготовлена з біологічно інертних, немагнітних, </w:t>
            </w:r>
            <w:proofErr w:type="spellStart"/>
            <w:r>
              <w:rPr>
                <w:bCs/>
                <w:szCs w:val="24"/>
              </w:rPr>
              <w:t>корозійно</w:t>
            </w:r>
            <w:proofErr w:type="spellEnd"/>
            <w:r>
              <w:rPr>
                <w:bCs/>
                <w:szCs w:val="24"/>
              </w:rPr>
              <w:t xml:space="preserve"> стійких, міцних матеріалів (титанового сплаву). Має мати клиновидну форму типу </w:t>
            </w:r>
            <w:proofErr w:type="spellStart"/>
            <w:r>
              <w:rPr>
                <w:bCs/>
                <w:szCs w:val="24"/>
              </w:rPr>
              <w:t>Цвай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мюлера</w:t>
            </w:r>
            <w:proofErr w:type="spellEnd"/>
            <w:r>
              <w:rPr>
                <w:bCs/>
                <w:szCs w:val="24"/>
              </w:rPr>
              <w:t xml:space="preserve"> та бути моноблочною. На бокових поверхнях не має бути ніяких </w:t>
            </w:r>
            <w:proofErr w:type="spellStart"/>
            <w:r>
              <w:rPr>
                <w:bCs/>
                <w:szCs w:val="24"/>
              </w:rPr>
              <w:t>скрізних</w:t>
            </w:r>
            <w:proofErr w:type="spellEnd"/>
            <w:r>
              <w:rPr>
                <w:bCs/>
                <w:szCs w:val="24"/>
              </w:rPr>
              <w:t xml:space="preserve"> отворів та канавок. Вона повинна мати шийку з рельєфною поверхнею та конусом 12/14 і мати 9 </w:t>
            </w:r>
            <w:proofErr w:type="spellStart"/>
            <w:r>
              <w:rPr>
                <w:bCs/>
                <w:szCs w:val="24"/>
              </w:rPr>
              <w:t>типорозмiрів</w:t>
            </w:r>
            <w:proofErr w:type="spellEnd"/>
            <w:r>
              <w:rPr>
                <w:bCs/>
                <w:szCs w:val="24"/>
              </w:rPr>
              <w:t xml:space="preserve"> відповідно до діаметру кістково-мозкового каналу. Довжина ніжки повинна бути не менше 126 мм та не більше 166 мм, з кроком 5 мм. Покриття ніжки </w:t>
            </w:r>
            <w:proofErr w:type="spellStart"/>
            <w:r>
              <w:rPr>
                <w:bCs/>
                <w:szCs w:val="24"/>
              </w:rPr>
              <w:t>безцементної</w:t>
            </w:r>
            <w:proofErr w:type="spellEnd"/>
            <w:r>
              <w:rPr>
                <w:bCs/>
                <w:szCs w:val="24"/>
              </w:rPr>
              <w:t xml:space="preserve"> повинно бути зроблене шляхом </w:t>
            </w:r>
            <w:proofErr w:type="spellStart"/>
            <w:r>
              <w:rPr>
                <w:bCs/>
                <w:szCs w:val="24"/>
              </w:rPr>
              <w:t>піскоструменевої</w:t>
            </w:r>
            <w:proofErr w:type="spellEnd"/>
            <w:r>
              <w:rPr>
                <w:bCs/>
                <w:szCs w:val="24"/>
              </w:rPr>
              <w:t xml:space="preserve"> обробки поверхні окрім конуса та шийки, що має забезпечувати рельєф </w:t>
            </w:r>
            <w:proofErr w:type="spellStart"/>
            <w:r>
              <w:rPr>
                <w:bCs/>
                <w:szCs w:val="24"/>
              </w:rPr>
              <w:t>Ra</w:t>
            </w:r>
            <w:proofErr w:type="spellEnd"/>
            <w:r>
              <w:rPr>
                <w:bCs/>
                <w:szCs w:val="24"/>
              </w:rPr>
              <w:t xml:space="preserve"> 8µm(+/- 2).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2.3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Вимоги до стегнової голівки: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Стегнова голівка повинна мати діаметри 28, 32 та 36 мм і бути виготовлена з </w:t>
            </w:r>
            <w:proofErr w:type="spellStart"/>
            <w:r>
              <w:rPr>
                <w:bCs/>
                <w:szCs w:val="24"/>
              </w:rPr>
              <w:t>кобальто</w:t>
            </w:r>
            <w:proofErr w:type="spellEnd"/>
            <w:r>
              <w:rPr>
                <w:bCs/>
                <w:szCs w:val="24"/>
              </w:rPr>
              <w:t xml:space="preserve">-хромового сплаву </w:t>
            </w:r>
            <w:proofErr w:type="spellStart"/>
            <w:r>
              <w:rPr>
                <w:bCs/>
                <w:szCs w:val="24"/>
              </w:rPr>
              <w:t>CoCr</w:t>
            </w:r>
            <w:proofErr w:type="spellEnd"/>
            <w:r>
              <w:rPr>
                <w:bCs/>
                <w:szCs w:val="24"/>
              </w:rPr>
              <w:t>. Вона повинна мати внутрішній конус 12/14 мм і 4 типорозміри по довжині шийки: -3,5мм, 0мм, +3,5мм, +7мм. Поверхня голівки повинна бути відполірована до дзеркального блиску.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2.4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Вимоги до </w:t>
            </w:r>
            <w:proofErr w:type="spellStart"/>
            <w:r>
              <w:rPr>
                <w:bCs/>
                <w:szCs w:val="24"/>
              </w:rPr>
              <w:t>безцементної</w:t>
            </w:r>
            <w:proofErr w:type="spellEnd"/>
            <w:r>
              <w:rPr>
                <w:bCs/>
                <w:szCs w:val="24"/>
              </w:rPr>
              <w:t xml:space="preserve"> чашки: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Безцементна</w:t>
            </w:r>
            <w:proofErr w:type="spellEnd"/>
            <w:r>
              <w:rPr>
                <w:bCs/>
                <w:szCs w:val="24"/>
              </w:rPr>
              <w:t xml:space="preserve"> чашка повинна бути виготовлена з титанового сплаву. Вона повинна мати сферичну форму, </w:t>
            </w:r>
            <w:proofErr w:type="spellStart"/>
            <w:r>
              <w:rPr>
                <w:bCs/>
                <w:szCs w:val="24"/>
              </w:rPr>
              <w:t>борозду</w:t>
            </w:r>
            <w:proofErr w:type="spellEnd"/>
            <w:r>
              <w:rPr>
                <w:bCs/>
                <w:szCs w:val="24"/>
              </w:rPr>
              <w:t xml:space="preserve"> на внутрішній поверхні для кращої фіксації поліетиленової прокладки, 3 отвори  для введення через них </w:t>
            </w:r>
            <w:proofErr w:type="spellStart"/>
            <w:r>
              <w:rPr>
                <w:bCs/>
                <w:szCs w:val="24"/>
              </w:rPr>
              <w:t>спонгіозних</w:t>
            </w:r>
            <w:proofErr w:type="spellEnd"/>
            <w:r>
              <w:rPr>
                <w:bCs/>
                <w:szCs w:val="24"/>
              </w:rPr>
              <w:t xml:space="preserve"> гвинтів для кращої фіксації. </w:t>
            </w:r>
            <w:proofErr w:type="spellStart"/>
            <w:r>
              <w:rPr>
                <w:bCs/>
                <w:szCs w:val="24"/>
              </w:rPr>
              <w:t>Безцементна</w:t>
            </w:r>
            <w:proofErr w:type="spellEnd"/>
            <w:r>
              <w:rPr>
                <w:bCs/>
                <w:szCs w:val="24"/>
              </w:rPr>
              <w:t xml:space="preserve"> чашка по діаметру повинна мати 15 типорозмірів від 42 мм до 70 мм з кроком 2 мм та мати нанесене плазмове титанове покриття на зовнішній поверхні. Чашка повинна мати 12 радіальних канавок з розширенням  30° для </w:t>
            </w:r>
            <w:proofErr w:type="spellStart"/>
            <w:r>
              <w:rPr>
                <w:bCs/>
                <w:szCs w:val="24"/>
              </w:rPr>
              <w:t>зєднання</w:t>
            </w:r>
            <w:proofErr w:type="spellEnd"/>
            <w:r>
              <w:rPr>
                <w:bCs/>
                <w:szCs w:val="24"/>
              </w:rPr>
              <w:t xml:space="preserve"> з </w:t>
            </w:r>
            <w:proofErr w:type="spellStart"/>
            <w:r>
              <w:rPr>
                <w:bCs/>
                <w:szCs w:val="24"/>
              </w:rPr>
              <w:t>поліетеленовою</w:t>
            </w:r>
            <w:proofErr w:type="spellEnd"/>
            <w:r>
              <w:rPr>
                <w:bCs/>
                <w:szCs w:val="24"/>
              </w:rPr>
              <w:t xml:space="preserve"> вкладкою. Ободок впадини повинен бути позначений кольором, щоб полегшити збіг відповідної  групи  вкладишів.  Постановка чашки повинна здійснюватися шляхом впресовування.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2.5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>Вимоги до вкладки чашки: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Вкладка чашки </w:t>
            </w:r>
            <w:proofErr w:type="spellStart"/>
            <w:r>
              <w:rPr>
                <w:bCs/>
                <w:szCs w:val="24"/>
              </w:rPr>
              <w:t>безцементної</w:t>
            </w:r>
            <w:proofErr w:type="spellEnd"/>
            <w:r>
              <w:rPr>
                <w:bCs/>
                <w:szCs w:val="24"/>
              </w:rPr>
              <w:t xml:space="preserve"> повинна бути виготовлена з високо молекулярного поліетилену у складі якого повинен бути вітамін, мати розмір внутрішнього діаметра посадкового місця 36, 32, 28 мм. Вона повинна бути виготовлена у двох </w:t>
            </w:r>
            <w:proofErr w:type="spellStart"/>
            <w:r>
              <w:rPr>
                <w:bCs/>
                <w:szCs w:val="24"/>
              </w:rPr>
              <w:t>виконаннях</w:t>
            </w:r>
            <w:proofErr w:type="spellEnd"/>
            <w:r>
              <w:rPr>
                <w:bCs/>
                <w:szCs w:val="24"/>
              </w:rPr>
              <w:t xml:space="preserve"> «стандарт» та «офсет 15°» і призначатися для </w:t>
            </w:r>
            <w:proofErr w:type="spellStart"/>
            <w:r>
              <w:rPr>
                <w:bCs/>
                <w:szCs w:val="24"/>
              </w:rPr>
              <w:t>безцементних</w:t>
            </w:r>
            <w:proofErr w:type="spellEnd"/>
            <w:r>
              <w:rPr>
                <w:bCs/>
                <w:szCs w:val="24"/>
              </w:rPr>
              <w:t xml:space="preserve"> западин.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2.6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Вимоги до фіксаційного гвинта </w:t>
            </w:r>
            <w:proofErr w:type="spellStart"/>
            <w:r>
              <w:rPr>
                <w:bCs/>
                <w:szCs w:val="24"/>
              </w:rPr>
              <w:t>спонгіозного</w:t>
            </w:r>
            <w:proofErr w:type="spellEnd"/>
            <w:r>
              <w:rPr>
                <w:bCs/>
                <w:szCs w:val="24"/>
              </w:rPr>
              <w:t>:</w:t>
            </w:r>
          </w:p>
          <w:p w:rsidR="00A92F36" w:rsidRDefault="00A92F36" w:rsidP="00963B71">
            <w:pPr>
              <w:shd w:val="clear" w:color="auto" w:fill="FFFFFF"/>
              <w:spacing w:after="40" w:line="240" w:lineRule="auto"/>
              <w:ind w:firstLineChars="275" w:firstLine="66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Фіксаційний гвинт </w:t>
            </w:r>
            <w:proofErr w:type="spellStart"/>
            <w:r>
              <w:rPr>
                <w:bCs/>
                <w:szCs w:val="24"/>
              </w:rPr>
              <w:t>спонгіозний</w:t>
            </w:r>
            <w:proofErr w:type="spellEnd"/>
            <w:r>
              <w:rPr>
                <w:bCs/>
                <w:szCs w:val="24"/>
              </w:rPr>
              <w:t xml:space="preserve"> повинен бути виготовлений з титанового сплаву. Він </w:t>
            </w:r>
            <w:proofErr w:type="spellStart"/>
            <w:r>
              <w:rPr>
                <w:bCs/>
                <w:szCs w:val="24"/>
              </w:rPr>
              <w:t>повиене</w:t>
            </w:r>
            <w:proofErr w:type="spellEnd"/>
            <w:r>
              <w:rPr>
                <w:bCs/>
                <w:szCs w:val="24"/>
              </w:rPr>
              <w:t xml:space="preserve"> бути </w:t>
            </w:r>
            <w:proofErr w:type="spellStart"/>
            <w:r>
              <w:rPr>
                <w:bCs/>
                <w:szCs w:val="24"/>
              </w:rPr>
              <w:t>самонарізним</w:t>
            </w:r>
            <w:proofErr w:type="spellEnd"/>
            <w:r>
              <w:rPr>
                <w:bCs/>
                <w:szCs w:val="24"/>
              </w:rPr>
              <w:t>, мати зовнішній діаметр 6,5 мм та не менше 8 типорозмірів по довжині.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Тотальні ендопротези колінного суглобу цементної фіксації</w:t>
            </w: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3.1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>Замовник за своїми потребами має право вибрати будь-які типорозміри компонентів ендопротезів  у  необхідних кількостях.</w:t>
            </w:r>
          </w:p>
          <w:p w:rsidR="00A92F36" w:rsidRDefault="00A92F36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>Компоненти ендопротезів мають постачатися в стерильній упаковці зі строком стерильності не менше 5 років.</w:t>
            </w:r>
          </w:p>
          <w:p w:rsidR="00A92F36" w:rsidRDefault="00A92F36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>Конструкція ендопротезу має дозволяти його використання як із збереженням задньої хрестоподібної зв’язки так і без збереження задньої хрестоподібної зв’язки.</w:t>
            </w:r>
          </w:p>
          <w:p w:rsidR="00A92F36" w:rsidRDefault="00A92F36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>Ендопротези повинні бути виготовлені з матеріалів згідно з міжнародними стандартами ISO з біологічно інертних, немагнітних, корозійностійких, міцних матеріалів.</w:t>
            </w:r>
          </w:p>
          <w:p w:rsidR="00A92F36" w:rsidRDefault="00A92F36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>Кістковий цемент повинен бути виготовлений  з матеріалів згідно з міжнародними стандартами ISO.</w:t>
            </w:r>
          </w:p>
          <w:p w:rsidR="00A92F36" w:rsidRDefault="00A92F36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bCs/>
                <w:iCs/>
                <w:szCs w:val="24"/>
              </w:rPr>
              <w:t>Операційна техніка має бути простою, мінімально травматичною. Забезпечувати надійну імплантацію і стабільну фіксацію всіх запропонованих компонентів кульшового суглобу.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3.2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>Вимоги до стегнового компоненту:</w:t>
            </w:r>
          </w:p>
          <w:p w:rsidR="00A92F36" w:rsidRDefault="00A92F36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 xml:space="preserve">Стегновий компонент повинен мати не менш, як по 5 типорозмірів для лівого та правого суглобу. Поперечний діаметр повинен становити не менше 60 мм для 1 типорозміру та 80 мм для 5 типорозміру та </w:t>
            </w:r>
            <w:proofErr w:type="spellStart"/>
            <w:r>
              <w:rPr>
                <w:szCs w:val="24"/>
              </w:rPr>
              <w:t>передньо</w:t>
            </w:r>
            <w:proofErr w:type="spellEnd"/>
            <w:r>
              <w:rPr>
                <w:szCs w:val="24"/>
              </w:rPr>
              <w:t xml:space="preserve">-задній від 52 до 71 мм відповідно. Стегновий компонент має бути виготовлений з </w:t>
            </w:r>
            <w:proofErr w:type="spellStart"/>
            <w:r>
              <w:rPr>
                <w:szCs w:val="24"/>
              </w:rPr>
              <w:t>CoCrMo</w:t>
            </w:r>
            <w:proofErr w:type="spellEnd"/>
            <w:r>
              <w:rPr>
                <w:szCs w:val="24"/>
              </w:rPr>
              <w:t xml:space="preserve"> сплаву. Поверхня стегнового компоненту має бути відполірована до дзеркального блиску. Має мати незмінний радіус стегнового компонента від 0 до 90 градусів та забезпечувати  достатню площу контакту при згинанні та розгинанні. Має мати кут переднього фланця 6 градусів для запобігання врізанню в кістку. З метою збереження кісткової тканини, встановлення стегнового </w:t>
            </w:r>
            <w:proofErr w:type="spellStart"/>
            <w:r>
              <w:rPr>
                <w:szCs w:val="24"/>
              </w:rPr>
              <w:t>імпланту</w:t>
            </w:r>
            <w:proofErr w:type="spellEnd"/>
            <w:r>
              <w:rPr>
                <w:szCs w:val="24"/>
              </w:rPr>
              <w:t xml:space="preserve"> має проходити без </w:t>
            </w:r>
            <w:proofErr w:type="spellStart"/>
            <w:r>
              <w:rPr>
                <w:szCs w:val="24"/>
              </w:rPr>
              <w:t>міжвиросткової</w:t>
            </w:r>
            <w:proofErr w:type="spellEnd"/>
            <w:r>
              <w:rPr>
                <w:szCs w:val="24"/>
              </w:rPr>
              <w:t xml:space="preserve"> резекції кісткової тканини.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3.3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>Вимоги до гомілкового компоненту:</w:t>
            </w:r>
          </w:p>
          <w:p w:rsidR="00A92F36" w:rsidRDefault="00A92F36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 xml:space="preserve">Гомілковий компонент має бути модульним (складатися з металевого плато і поліетиленової вставки). Враховуючи антропологічні особливості людини металеве плато гомілкового компоненту повинно бути симетричним і мати не менш, як 10 типорозмірів, має бути виготовлено з </w:t>
            </w:r>
            <w:proofErr w:type="spellStart"/>
            <w:r>
              <w:rPr>
                <w:szCs w:val="24"/>
              </w:rPr>
              <w:t>CoCrMo</w:t>
            </w:r>
            <w:proofErr w:type="spellEnd"/>
            <w:r>
              <w:rPr>
                <w:szCs w:val="24"/>
              </w:rPr>
              <w:t xml:space="preserve"> сплаву. Поперечний діаметр повинен становити не менше 60 мм для 1 типорозміру та 85 мм для 5+ типорозміру та </w:t>
            </w:r>
            <w:proofErr w:type="spellStart"/>
            <w:r>
              <w:rPr>
                <w:szCs w:val="24"/>
              </w:rPr>
              <w:t>передньо</w:t>
            </w:r>
            <w:proofErr w:type="spellEnd"/>
            <w:r>
              <w:rPr>
                <w:szCs w:val="24"/>
              </w:rPr>
              <w:t>-задній від 41 до 58 мм відповідно. Конструкція металевого плато має бути без ротаційної платформи, та повинна мати вбудований задній схил 3 градуси.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3.4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>Вимоги до поліетиленової вставки гомілкового компоненту:</w:t>
            </w:r>
          </w:p>
          <w:p w:rsidR="00A92F36" w:rsidRDefault="00A92F36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 xml:space="preserve">Вставка гомілкового компоненту повинна бути з посиленим опором до зносу і виготовлена із спеціального, </w:t>
            </w:r>
            <w:r>
              <w:rPr>
                <w:szCs w:val="24"/>
              </w:rPr>
              <w:lastRenderedPageBreak/>
              <w:t xml:space="preserve">надчистого поліетилену з перехресними молекулярними зв’язками і мати не менш, як 6 типорозмірів по товщині (10, 12, 14, 17, 20 ,25 мм) для лівого та правого суглобу. Повинна мати високий передній край для перешкоджання зсуву стегнового компоненту при ходьбі. Фіксація вставки у гомілковому компоненті повинна забезпечуватися запірним механізмом по типу ластівчиного хвоста, що буде дозволяти </w:t>
            </w:r>
            <w:proofErr w:type="spellStart"/>
            <w:r>
              <w:rPr>
                <w:szCs w:val="24"/>
              </w:rPr>
              <w:t>інтраопераційну</w:t>
            </w:r>
            <w:proofErr w:type="spellEnd"/>
            <w:r>
              <w:rPr>
                <w:szCs w:val="24"/>
              </w:rPr>
              <w:t xml:space="preserve"> заміну вставки в імплантованому гомілковому компоненті. Вставка має використовуватися як для збереженням задньої хрестоподібної зв’язки так і для без збереження задньої хрестоподібної зв’язки.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A92F36" w:rsidTr="00963B71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426"/>
                <w:tab w:val="left" w:pos="720"/>
              </w:tabs>
              <w:spacing w:after="0" w:line="24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3.5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92F36" w:rsidRDefault="00A92F36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>Вимоги до кісткового цементу:</w:t>
            </w:r>
          </w:p>
          <w:p w:rsidR="00A92F36" w:rsidRDefault="00A92F36" w:rsidP="00963B71">
            <w:pPr>
              <w:tabs>
                <w:tab w:val="left" w:pos="851"/>
              </w:tabs>
              <w:spacing w:after="40" w:line="240" w:lineRule="auto"/>
              <w:ind w:firstLine="709"/>
              <w:rPr>
                <w:szCs w:val="24"/>
              </w:rPr>
            </w:pPr>
            <w:r>
              <w:rPr>
                <w:szCs w:val="24"/>
              </w:rPr>
              <w:t xml:space="preserve">Кістковий цемент повинен використовуватися для операцій з </w:t>
            </w:r>
            <w:proofErr w:type="spellStart"/>
            <w:r>
              <w:rPr>
                <w:szCs w:val="24"/>
              </w:rPr>
              <w:t>імплантування</w:t>
            </w:r>
            <w:proofErr w:type="spellEnd"/>
            <w:r>
              <w:rPr>
                <w:szCs w:val="24"/>
              </w:rPr>
              <w:t xml:space="preserve"> суглобів. Кістковий цемент повинен складатися з двох компонентів, а саме, з суміші рідкого мономеру (20 мл) і </w:t>
            </w:r>
            <w:proofErr w:type="spellStart"/>
            <w:r>
              <w:rPr>
                <w:szCs w:val="24"/>
              </w:rPr>
              <w:t>кополімеру</w:t>
            </w:r>
            <w:proofErr w:type="spellEnd"/>
            <w:r>
              <w:rPr>
                <w:szCs w:val="24"/>
              </w:rPr>
              <w:t xml:space="preserve"> у вигляді порошку (40 г), які повинні бути упаковані, як два окремих стерильних компонента. До складу кісткового цементу повинні входити </w:t>
            </w:r>
            <w:proofErr w:type="spellStart"/>
            <w:r>
              <w:rPr>
                <w:szCs w:val="24"/>
              </w:rPr>
              <w:t>рентгеноконтрасна</w:t>
            </w:r>
            <w:proofErr w:type="spellEnd"/>
            <w:r>
              <w:rPr>
                <w:szCs w:val="24"/>
              </w:rPr>
              <w:t xml:space="preserve"> речовина та антибіотик.             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36" w:rsidRDefault="00A92F36" w:rsidP="00963B71">
            <w:pPr>
              <w:spacing w:after="0" w:line="240" w:lineRule="auto"/>
              <w:contextualSpacing/>
              <w:rPr>
                <w:b/>
                <w:bCs/>
                <w:color w:val="000000" w:themeColor="text1"/>
                <w:szCs w:val="24"/>
              </w:rPr>
            </w:pPr>
          </w:p>
        </w:tc>
      </w:tr>
    </w:tbl>
    <w:p w:rsidR="00A92F36" w:rsidRDefault="00A92F36" w:rsidP="00A92F36">
      <w:pPr>
        <w:widowControl w:val="0"/>
        <w:suppressAutoHyphens/>
        <w:autoSpaceDE w:val="0"/>
        <w:spacing w:after="0" w:line="240" w:lineRule="auto"/>
        <w:ind w:right="-1"/>
        <w:rPr>
          <w:rFonts w:cs="Times New Roman CYR"/>
          <w:sz w:val="20"/>
          <w:szCs w:val="20"/>
        </w:rPr>
      </w:pPr>
      <w:r>
        <w:rPr>
          <w:rFonts w:cs="Times New Roman CYR"/>
          <w:sz w:val="20"/>
          <w:szCs w:val="20"/>
        </w:rPr>
        <w:t xml:space="preserve">*   Тендерна пропозиція, що не відповідає медико - технічним вимогам, буде відхилена як така, що не відповідає вимогам Тендерної документації; </w:t>
      </w:r>
    </w:p>
    <w:p w:rsidR="009C425D" w:rsidRDefault="00A92F36" w:rsidP="00A92F36">
      <w:pPr>
        <w:ind w:left="-15" w:right="0"/>
      </w:pPr>
      <w:r>
        <w:rPr>
          <w:rFonts w:cs="Times New Roman CYR"/>
          <w:sz w:val="20"/>
          <w:szCs w:val="20"/>
        </w:rPr>
        <w:t>**</w:t>
      </w:r>
      <w:r>
        <w:rPr>
          <w:rFonts w:cs="Times New Roman CYR"/>
          <w:b/>
          <w:bCs/>
          <w:i/>
          <w:iCs/>
          <w:sz w:val="20"/>
          <w:szCs w:val="20"/>
        </w:rPr>
        <w:t xml:space="preserve"> </w:t>
      </w:r>
      <w:r>
        <w:rPr>
          <w:rFonts w:cs="Times New Roman CYR"/>
          <w:bCs/>
          <w:i/>
          <w:iCs/>
          <w:sz w:val="20"/>
          <w:szCs w:val="20"/>
        </w:rPr>
        <w:t xml:space="preserve">У разі, коли в описі предмета закупівлі </w:t>
      </w:r>
      <w:r>
        <w:rPr>
          <w:rFonts w:cs="Times New Roman CYR"/>
          <w:i/>
          <w:sz w:val="20"/>
          <w:szCs w:val="20"/>
        </w:rPr>
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</w:t>
      </w:r>
      <w:r>
        <w:rPr>
          <w:rFonts w:cs="Times New Roman CYR"/>
          <w:sz w:val="20"/>
          <w:szCs w:val="20"/>
        </w:rPr>
        <w:t xml:space="preserve"> </w:t>
      </w:r>
      <w:r>
        <w:rPr>
          <w:rFonts w:cs="Times New Roman CYR"/>
          <w:i/>
          <w:sz w:val="20"/>
          <w:szCs w:val="20"/>
        </w:rPr>
        <w:t xml:space="preserve">враховувати вираз </w:t>
      </w:r>
      <w:r>
        <w:rPr>
          <w:rFonts w:cs="Times New Roman CYR"/>
          <w:b/>
          <w:i/>
          <w:sz w:val="20"/>
          <w:szCs w:val="20"/>
        </w:rPr>
        <w:t>"або еквівалент";</w:t>
      </w:r>
    </w:p>
    <w:sectPr w:rsidR="009C425D">
      <w:pgSz w:w="11920" w:h="16840"/>
      <w:pgMar w:top="767" w:right="581" w:bottom="998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18F2"/>
    <w:multiLevelType w:val="hybridMultilevel"/>
    <w:tmpl w:val="6FAC94DA"/>
    <w:lvl w:ilvl="0" w:tplc="F628DE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F478D6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C4E68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03F78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78F640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6B48A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AD9F8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A01D2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8B7DA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436AC9"/>
    <w:multiLevelType w:val="hybridMultilevel"/>
    <w:tmpl w:val="E2C2D5F2"/>
    <w:lvl w:ilvl="0" w:tplc="43546FD8">
      <w:start w:val="1"/>
      <w:numFmt w:val="bullet"/>
      <w:lvlText w:val="-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69542">
      <w:start w:val="1"/>
      <w:numFmt w:val="bullet"/>
      <w:lvlText w:val="o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E611C">
      <w:start w:val="1"/>
      <w:numFmt w:val="bullet"/>
      <w:lvlText w:val="▪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4122E">
      <w:start w:val="1"/>
      <w:numFmt w:val="bullet"/>
      <w:lvlText w:val="•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4FA18">
      <w:start w:val="1"/>
      <w:numFmt w:val="bullet"/>
      <w:lvlText w:val="o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ACE90">
      <w:start w:val="1"/>
      <w:numFmt w:val="bullet"/>
      <w:lvlText w:val="▪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C9A10">
      <w:start w:val="1"/>
      <w:numFmt w:val="bullet"/>
      <w:lvlText w:val="•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6165E">
      <w:start w:val="1"/>
      <w:numFmt w:val="bullet"/>
      <w:lvlText w:val="o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402E6">
      <w:start w:val="1"/>
      <w:numFmt w:val="bullet"/>
      <w:lvlText w:val="▪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991907"/>
    <w:multiLevelType w:val="multilevel"/>
    <w:tmpl w:val="29991907"/>
    <w:lvl w:ilvl="0">
      <w:start w:val="1"/>
      <w:numFmt w:val="decimal"/>
      <w:pStyle w:val="11"/>
      <w:lvlText w:val="%1."/>
      <w:lvlJc w:val="left"/>
      <w:pPr>
        <w:tabs>
          <w:tab w:val="left" w:pos="814"/>
        </w:tabs>
        <w:ind w:left="814" w:hanging="360"/>
      </w:pPr>
    </w:lvl>
    <w:lvl w:ilvl="1">
      <w:start w:val="1"/>
      <w:numFmt w:val="decimal"/>
      <w:lvlText w:val="%1.%2."/>
      <w:lvlJc w:val="left"/>
      <w:pPr>
        <w:tabs>
          <w:tab w:val="left" w:pos="1246"/>
        </w:tabs>
        <w:ind w:left="1246" w:hanging="432"/>
      </w:pPr>
    </w:lvl>
    <w:lvl w:ilvl="2">
      <w:start w:val="1"/>
      <w:numFmt w:val="decimal"/>
      <w:lvlText w:val="%1.%2.%3."/>
      <w:lvlJc w:val="left"/>
      <w:pPr>
        <w:tabs>
          <w:tab w:val="left" w:pos="1894"/>
        </w:tabs>
        <w:ind w:left="1678" w:hanging="504"/>
      </w:pPr>
    </w:lvl>
    <w:lvl w:ilvl="3">
      <w:start w:val="1"/>
      <w:numFmt w:val="decimal"/>
      <w:lvlText w:val="%1.%2.%3.%4."/>
      <w:lvlJc w:val="left"/>
      <w:pPr>
        <w:tabs>
          <w:tab w:val="left" w:pos="2254"/>
        </w:tabs>
        <w:ind w:left="2182" w:hanging="648"/>
      </w:pPr>
    </w:lvl>
    <w:lvl w:ilvl="4">
      <w:start w:val="1"/>
      <w:numFmt w:val="decimal"/>
      <w:lvlText w:val="%1.%2.%3.%4.%5."/>
      <w:lvlJc w:val="left"/>
      <w:pPr>
        <w:tabs>
          <w:tab w:val="left" w:pos="2974"/>
        </w:tabs>
        <w:ind w:left="2686" w:hanging="792"/>
      </w:pPr>
    </w:lvl>
    <w:lvl w:ilvl="5">
      <w:start w:val="1"/>
      <w:numFmt w:val="decimal"/>
      <w:lvlText w:val="%1.%2.%3.%4.%5.%6."/>
      <w:lvlJc w:val="left"/>
      <w:pPr>
        <w:tabs>
          <w:tab w:val="left" w:pos="3334"/>
        </w:tabs>
        <w:ind w:left="3190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054"/>
        </w:tabs>
        <w:ind w:left="3694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414"/>
        </w:tabs>
        <w:ind w:left="4198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134"/>
        </w:tabs>
        <w:ind w:left="4774" w:hanging="1440"/>
      </w:pPr>
    </w:lvl>
  </w:abstractNum>
  <w:abstractNum w:abstractNumId="3" w15:restartNumberingAfterBreak="0">
    <w:nsid w:val="50AE694F"/>
    <w:multiLevelType w:val="hybridMultilevel"/>
    <w:tmpl w:val="7F30D204"/>
    <w:lvl w:ilvl="0" w:tplc="9FA4CD24">
      <w:start w:val="1"/>
      <w:numFmt w:val="bullet"/>
      <w:lvlText w:val="-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F8D98C">
      <w:start w:val="1"/>
      <w:numFmt w:val="bullet"/>
      <w:lvlText w:val="o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42A7E">
      <w:start w:val="1"/>
      <w:numFmt w:val="bullet"/>
      <w:lvlText w:val="▪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0A8358">
      <w:start w:val="1"/>
      <w:numFmt w:val="bullet"/>
      <w:lvlText w:val="•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05CAC">
      <w:start w:val="1"/>
      <w:numFmt w:val="bullet"/>
      <w:lvlText w:val="o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C19F6">
      <w:start w:val="1"/>
      <w:numFmt w:val="bullet"/>
      <w:lvlText w:val="▪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C31BA">
      <w:start w:val="1"/>
      <w:numFmt w:val="bullet"/>
      <w:lvlText w:val="•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CECB6">
      <w:start w:val="1"/>
      <w:numFmt w:val="bullet"/>
      <w:lvlText w:val="o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804AA">
      <w:start w:val="1"/>
      <w:numFmt w:val="bullet"/>
      <w:lvlText w:val="▪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7423AD"/>
    <w:multiLevelType w:val="hybridMultilevel"/>
    <w:tmpl w:val="96F6EF04"/>
    <w:lvl w:ilvl="0" w:tplc="EB9ED45A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81E58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4B6B2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26E778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096F8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8D760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643EC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01FD8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76BA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5D"/>
    <w:rsid w:val="00016720"/>
    <w:rsid w:val="00400EB1"/>
    <w:rsid w:val="006E76C1"/>
    <w:rsid w:val="00762446"/>
    <w:rsid w:val="009C425D"/>
    <w:rsid w:val="00A92F36"/>
    <w:rsid w:val="00F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A09F"/>
  <w15:docId w15:val="{6FBD1A46-2967-42CD-8603-96A803C3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" w:line="249" w:lineRule="auto"/>
      <w:ind w:right="1" w:firstLine="65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16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uiPriority w:val="99"/>
    <w:qFormat/>
    <w:rsid w:val="00016720"/>
    <w:pPr>
      <w:suppressAutoHyphens/>
      <w:spacing w:after="0" w:line="240" w:lineRule="auto"/>
      <w:ind w:right="0" w:firstLine="540"/>
    </w:pPr>
    <w:rPr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016720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11">
    <w:name w:val="Стиль Заголовок 1 + не все прописные1"/>
    <w:basedOn w:val="1"/>
    <w:uiPriority w:val="99"/>
    <w:rsid w:val="00016720"/>
    <w:pPr>
      <w:keepLines w:val="0"/>
      <w:numPr>
        <w:numId w:val="5"/>
      </w:numPr>
      <w:tabs>
        <w:tab w:val="clear" w:pos="814"/>
        <w:tab w:val="left" w:pos="360"/>
        <w:tab w:val="left" w:pos="720"/>
      </w:tabs>
      <w:spacing w:before="0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0167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762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ендопротези 2025</vt:lpstr>
    </vt:vector>
  </TitlesOfParts>
  <Company/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ендопротези 2025</dc:title>
  <dc:subject/>
  <dc:creator>wd</dc:creator>
  <cp:keywords/>
  <cp:lastModifiedBy>уауа</cp:lastModifiedBy>
  <cp:revision>6</cp:revision>
  <dcterms:created xsi:type="dcterms:W3CDTF">2025-03-18T08:04:00Z</dcterms:created>
  <dcterms:modified xsi:type="dcterms:W3CDTF">2025-04-11T07:20:00Z</dcterms:modified>
</cp:coreProperties>
</file>