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E2" w:rsidRPr="00AC5BB6" w:rsidRDefault="00AC1022" w:rsidP="00E43F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4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CE2" w:rsidRPr="00AC5BB6">
        <w:rPr>
          <w:rFonts w:ascii="Times New Roman" w:hAnsi="Times New Roman" w:cs="Times New Roman"/>
          <w:b/>
          <w:bCs/>
          <w:sz w:val="24"/>
          <w:szCs w:val="24"/>
        </w:rPr>
        <w:t xml:space="preserve">Додаток </w:t>
      </w:r>
      <w:r w:rsidR="005B1E02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2D3CE2" w:rsidRPr="00AC5BB6" w:rsidRDefault="002D3CE2" w:rsidP="00E43F68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F32F72" w:rsidRPr="00AC5BB6" w:rsidRDefault="00F32F72" w:rsidP="00E43F68">
      <w:pPr>
        <w:ind w:left="7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6ADE" w:rsidRPr="00AC5BB6" w:rsidRDefault="000A6ADE" w:rsidP="00E43F68">
      <w:pPr>
        <w:pStyle w:val="rvps2"/>
        <w:shd w:val="clear" w:color="auto" w:fill="FFFFFF"/>
        <w:spacing w:before="0" w:after="0"/>
        <w:ind w:left="142"/>
        <w:jc w:val="center"/>
        <w:textAlignment w:val="baseline"/>
        <w:rPr>
          <w:b/>
          <w:sz w:val="28"/>
          <w:lang w:val="uk-UA"/>
        </w:rPr>
      </w:pPr>
    </w:p>
    <w:p w:rsidR="00F32F72" w:rsidRPr="00AC5BB6" w:rsidRDefault="00F32F72" w:rsidP="00E43F68">
      <w:pPr>
        <w:pStyle w:val="rvps2"/>
        <w:shd w:val="clear" w:color="auto" w:fill="FFFFFF"/>
        <w:spacing w:before="0" w:after="0"/>
        <w:ind w:left="142"/>
        <w:jc w:val="center"/>
        <w:textAlignment w:val="baseline"/>
        <w:rPr>
          <w:b/>
          <w:sz w:val="28"/>
          <w:lang w:val="uk-UA"/>
        </w:rPr>
      </w:pPr>
      <w:r w:rsidRPr="00AC5BB6">
        <w:rPr>
          <w:b/>
          <w:sz w:val="28"/>
          <w:lang w:val="uk-UA"/>
        </w:rPr>
        <w:t>Технічні вимоги до предмету закупівлі</w:t>
      </w:r>
    </w:p>
    <w:p w:rsidR="005944B3" w:rsidRPr="00AC5BB6" w:rsidRDefault="000356B3" w:rsidP="005944B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«к</w:t>
      </w:r>
      <w:r w:rsidR="00CA008F"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 ДК 021:2015: 33160000 - 9 Устаткування для операційних блоків</w:t>
      </w: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44B3"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(35616</w:t>
      </w: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5944B3"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Система ендоскопічної візуалізації</w:t>
      </w: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у комплекті</w:t>
      </w:r>
      <w:r w:rsidR="005944B3"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944B3" w:rsidRPr="00AC5BB6" w:rsidRDefault="005944B3" w:rsidP="005944B3">
      <w:pPr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F76324" w:rsidRPr="00AC5BB6" w:rsidRDefault="00486C17" w:rsidP="00E11BE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C5B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798"/>
        <w:gridCol w:w="3798"/>
        <w:gridCol w:w="1247"/>
        <w:gridCol w:w="850"/>
      </w:tblGrid>
      <w:tr w:rsidR="00B025C0" w:rsidRPr="00AC5BB6" w:rsidTr="00B025C0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НК 024:2019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Кіль</w:t>
            </w:r>
            <w:r w:rsidR="00B025C0"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кість</w:t>
            </w:r>
          </w:p>
        </w:tc>
      </w:tr>
      <w:tr w:rsidR="00B025C0" w:rsidRPr="00AC5BB6" w:rsidTr="00B025C0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pStyle w:val="ListParagraph1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35616 - Система ендоскопічної візуалізації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5132D" w:rsidP="000356B3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Вiдеоендоскопiчний</w:t>
            </w:r>
            <w:proofErr w:type="spellEnd"/>
            <w:r w:rsidR="000356B3"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2F72" w:rsidRPr="00AC5BB6" w:rsidRDefault="00F32F72" w:rsidP="00E43F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3CE" w:rsidRPr="00AC5BB6" w:rsidRDefault="000D73CE" w:rsidP="00E43F68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C5BB6">
        <w:rPr>
          <w:rFonts w:ascii="Times New Roman" w:hAnsi="Times New Roman" w:cs="Times New Roman"/>
          <w:b/>
          <w:smallCaps/>
          <w:sz w:val="24"/>
          <w:szCs w:val="24"/>
        </w:rPr>
        <w:t>ЗАГАЛЬНІ ВИМОГИ: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 xml:space="preserve">1. </w:t>
      </w:r>
      <w:r w:rsidRPr="00AC5BB6">
        <w:rPr>
          <w:rFonts w:ascii="Times New Roman" w:hAnsi="Times New Roman" w:cs="Times New Roman"/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 w:rsidRPr="00AC5BB6">
        <w:rPr>
          <w:rFonts w:ascii="Times New Roman" w:hAnsi="Times New Roman" w:cs="Times New Roman"/>
          <w:sz w:val="24"/>
          <w:szCs w:val="24"/>
        </w:rPr>
        <w:t xml:space="preserve"> у даному додатку та всіх інших вимог Тендерної Документації.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 мов</w:t>
      </w:r>
      <w:r w:rsidR="00AC1022" w:rsidRPr="00AC5BB6">
        <w:rPr>
          <w:rFonts w:ascii="Times New Roman" w:hAnsi="Times New Roman" w:cs="Times New Roman"/>
          <w:sz w:val="24"/>
          <w:szCs w:val="24"/>
        </w:rPr>
        <w:t>ою</w:t>
      </w:r>
      <w:r w:rsidRPr="00AC5BB6">
        <w:rPr>
          <w:rFonts w:ascii="Times New Roman" w:hAnsi="Times New Roman" w:cs="Times New Roman"/>
          <w:sz w:val="24"/>
          <w:szCs w:val="24"/>
        </w:rPr>
        <w:t xml:space="preserve">) в якому міститься ця інформація, з наданням </w:t>
      </w:r>
      <w:proofErr w:type="spellStart"/>
      <w:r w:rsidRPr="00AC5BB6">
        <w:rPr>
          <w:rFonts w:ascii="Times New Roman" w:hAnsi="Times New Roman" w:cs="Times New Roman"/>
          <w:sz w:val="24"/>
          <w:szCs w:val="24"/>
        </w:rPr>
        <w:t>скану</w:t>
      </w:r>
      <w:proofErr w:type="spellEnd"/>
      <w:r w:rsidRPr="00AC5BB6">
        <w:rPr>
          <w:rFonts w:ascii="Times New Roman" w:hAnsi="Times New Roman" w:cs="Times New Roman"/>
          <w:sz w:val="24"/>
          <w:szCs w:val="24"/>
        </w:rPr>
        <w:t xml:space="preserve"> з оригіналів документів або завірених учасником копій.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2.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 xml:space="preserve">На підтвердження Учасник повинен надати </w:t>
      </w:r>
      <w:r w:rsidRPr="00AC5BB6">
        <w:rPr>
          <w:rFonts w:ascii="Times New Roman" w:hAnsi="Times New Roman" w:cs="Times New Roman"/>
          <w:spacing w:val="1"/>
          <w:sz w:val="24"/>
          <w:szCs w:val="24"/>
        </w:rPr>
        <w:t xml:space="preserve">оригінал </w:t>
      </w:r>
      <w:r w:rsidRPr="00AC5BB6">
        <w:rPr>
          <w:rFonts w:ascii="Times New Roman" w:hAnsi="Times New Roman" w:cs="Times New Roman"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AC5BB6">
        <w:rPr>
          <w:rFonts w:ascii="Times New Roman" w:hAnsi="Times New Roman" w:cs="Times New Roman"/>
          <w:spacing w:val="1"/>
          <w:sz w:val="24"/>
          <w:szCs w:val="24"/>
        </w:rPr>
        <w:t xml:space="preserve">Лист повинен включати в себе: назву Учасника, номер оголошення, що оприлюднене </w:t>
      </w:r>
      <w:r w:rsidR="000356B3" w:rsidRPr="00AC5BB6">
        <w:rPr>
          <w:rFonts w:ascii="Times New Roman" w:hAnsi="Times New Roman" w:cs="Times New Roman"/>
          <w:spacing w:val="1"/>
          <w:sz w:val="24"/>
          <w:szCs w:val="24"/>
        </w:rPr>
        <w:t xml:space="preserve">в електронній системі </w:t>
      </w:r>
      <w:proofErr w:type="spellStart"/>
      <w:r w:rsidR="000356B3" w:rsidRPr="00AC5BB6">
        <w:rPr>
          <w:rFonts w:ascii="Times New Roman" w:hAnsi="Times New Roman" w:cs="Times New Roman"/>
          <w:spacing w:val="1"/>
          <w:sz w:val="24"/>
          <w:szCs w:val="24"/>
        </w:rPr>
        <w:t>закупівель</w:t>
      </w:r>
      <w:proofErr w:type="spellEnd"/>
      <w:r w:rsidRPr="00AC5BB6">
        <w:rPr>
          <w:rFonts w:ascii="Times New Roman" w:hAnsi="Times New Roman" w:cs="Times New Roman"/>
          <w:spacing w:val="1"/>
          <w:sz w:val="24"/>
          <w:szCs w:val="24"/>
        </w:rPr>
        <w:t>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5.   Товар, запропонований Учасником, повинен мати сервісну підтримку в Україні.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0D73CE" w:rsidRPr="00AC5BB6" w:rsidRDefault="000D73CE" w:rsidP="00E43F68">
      <w:pPr>
        <w:widowControl w:val="0"/>
        <w:tabs>
          <w:tab w:val="left" w:pos="851"/>
        </w:tabs>
        <w:autoSpaceDE w:val="0"/>
        <w:autoSpaceDN w:val="0"/>
        <w:adjustRightInd w:val="0"/>
        <w:ind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0D73CE" w:rsidRPr="00AC5BB6" w:rsidRDefault="000D73CE" w:rsidP="00E43F68">
      <w:pPr>
        <w:widowControl w:val="0"/>
        <w:tabs>
          <w:tab w:val="left" w:pos="851"/>
        </w:tabs>
        <w:ind w:right="-57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5BB6">
        <w:rPr>
          <w:rFonts w:ascii="Times New Roman" w:eastAsia="Calibri" w:hAnsi="Times New Roman" w:cs="Times New Roman"/>
          <w:sz w:val="24"/>
          <w:szCs w:val="24"/>
          <w:lang w:eastAsia="ar-SA"/>
        </w:rPr>
        <w:t>На підтвердження Учасник повинен надати</w:t>
      </w:r>
      <w:r w:rsidRPr="00AC5B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завірену копію декларації або копію документів, </w:t>
      </w:r>
      <w:r w:rsidRPr="00AC5B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0D73CE" w:rsidRPr="00AC5BB6" w:rsidRDefault="000D73CE" w:rsidP="00E43F68">
      <w:pPr>
        <w:widowControl w:val="0"/>
        <w:tabs>
          <w:tab w:val="left" w:pos="851"/>
        </w:tabs>
        <w:autoSpaceDE w:val="0"/>
        <w:autoSpaceDN w:val="0"/>
        <w:adjustRightInd w:val="0"/>
        <w:ind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7.   Проведення доставки, інсталяції та пуску обладнання за рахунок Учасника.</w:t>
      </w:r>
    </w:p>
    <w:p w:rsidR="000D73CE" w:rsidRPr="00AC5BB6" w:rsidRDefault="000D73CE" w:rsidP="00E43F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BB6">
        <w:rPr>
          <w:rFonts w:ascii="Times New Roman" w:hAnsi="Times New Roman" w:cs="Times New Roman"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0D73CE" w:rsidRPr="00AC5BB6" w:rsidRDefault="000D73CE" w:rsidP="00E43F6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F72" w:rsidRPr="00AC5BB6" w:rsidRDefault="000D73CE" w:rsidP="00E43F6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B6">
        <w:rPr>
          <w:rFonts w:ascii="Times New Roman" w:hAnsi="Times New Roman" w:cs="Times New Roman"/>
          <w:b/>
          <w:sz w:val="24"/>
          <w:szCs w:val="24"/>
        </w:rPr>
        <w:t>Медико-технічні вимоги:</w:t>
      </w:r>
    </w:p>
    <w:tbl>
      <w:tblPr>
        <w:tblpPr w:leftFromText="180" w:rightFromText="180" w:vertAnchor="text" w:horzAnchor="margin" w:tblpX="176" w:tblpY="167"/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07"/>
        <w:gridCol w:w="4355"/>
        <w:gridCol w:w="2449"/>
        <w:gridCol w:w="2268"/>
      </w:tblGrid>
      <w:tr w:rsidR="00F32F72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AC5BB6" w:rsidRDefault="00F32F72" w:rsidP="00BE012D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AC5BB6" w:rsidRDefault="00F32F72" w:rsidP="00E43F68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C71CBD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AC5BB6" w:rsidRDefault="00F32F72" w:rsidP="00E43F68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Відповідність</w:t>
            </w:r>
          </w:p>
          <w:p w:rsidR="00F32F72" w:rsidRPr="00AC5BB6" w:rsidRDefault="00F32F72" w:rsidP="00E43F68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(так/ні)</w:t>
            </w:r>
          </w:p>
          <w:p w:rsidR="00F32F72" w:rsidRPr="00AC5BB6" w:rsidRDefault="00F32F72" w:rsidP="00E43F68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 посиланням на сторінки технічної документації виробника</w:t>
            </w:r>
          </w:p>
        </w:tc>
      </w:tr>
      <w:tr w:rsidR="00482A88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AC5BB6" w:rsidRDefault="00482A88" w:rsidP="00BE012D">
            <w:pPr>
              <w:widowControl w:val="0"/>
              <w:numPr>
                <w:ilvl w:val="0"/>
                <w:numId w:val="2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AC5BB6" w:rsidRDefault="00482A88" w:rsidP="00902D1D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Вiдеоендоскопiчний</w:t>
            </w:r>
            <w:proofErr w:type="spellEnd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902D1D"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у складі: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88" w:rsidRPr="00AC5BB6" w:rsidRDefault="00482A88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1 комплект</w:t>
            </w: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 w:rsidR="00A72228" w:rsidRPr="00AC5BB6">
              <w:rPr>
                <w:rFonts w:ascii="Times New Roman" w:hAnsi="Times New Roman" w:cs="Times New Roman"/>
                <w:sz w:val="24"/>
                <w:szCs w:val="24"/>
              </w:rPr>
              <w:t xml:space="preserve"> екрану (діагональ), не менше 23</w:t>
            </w: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57C" w:rsidRPr="00AC5BB6" w:rsidRDefault="0011157C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7C" w:rsidRPr="00AC5BB6" w:rsidRDefault="0011157C" w:rsidP="0011157C">
            <w:pPr>
              <w:widowControl w:val="0"/>
              <w:autoSpaceDE w:val="0"/>
              <w:spacing w:line="276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Головка камери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Датчик зображення - CMOS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Мінімальна фокусна відстань не більше 15,9мм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A7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A72228" w:rsidRPr="00AC5BB6">
              <w:rPr>
                <w:rFonts w:ascii="Times New Roman" w:hAnsi="Times New Roman" w:cs="Times New Roman"/>
                <w:sz w:val="24"/>
                <w:szCs w:val="24"/>
              </w:rPr>
              <w:t>ьна фокусна відстань не менше 28</w:t>
            </w: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Кількість клавіш, які програмуються, не менше 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Довжина кабелю камери не менше 3м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З’єднання з ендоскопом з можливістю блокування (фіксування)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Блок керування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відеовиходу по типу DVI або аналог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Підтримка типу з’єднання HD-SDI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налаштування мови системи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вибору співвідношення сторін при підключенні монітору 16:9 або 16:10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функції запису зображень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28" w:rsidRPr="00AC5BB6" w:rsidTr="00A72228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A72228" w:rsidRPr="00AC5BB6" w:rsidRDefault="00A72228" w:rsidP="00A72228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A72228" w:rsidRPr="00AC5BB6" w:rsidRDefault="00A72228" w:rsidP="00A7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Можливість запису відео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A72228" w:rsidRPr="00AC5BB6" w:rsidRDefault="00A72228" w:rsidP="00A72228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A72228" w:rsidRPr="00AC5BB6" w:rsidRDefault="00A72228" w:rsidP="00A7222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28" w:rsidRPr="00AC5BB6" w:rsidTr="00A72228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A72228" w:rsidRPr="00AC5BB6" w:rsidRDefault="00A72228" w:rsidP="00A72228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A72228" w:rsidRPr="00AC5BB6" w:rsidRDefault="00A72228" w:rsidP="00A7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Можливість вибору формату створених зображень (фотографій)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A72228" w:rsidRPr="00AC5BB6" w:rsidRDefault="00A72228" w:rsidP="00A72228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менше 2-х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A72228" w:rsidRPr="00AC5BB6" w:rsidRDefault="00A72228" w:rsidP="00A7222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можливості підключення ножного перемикача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налаштування балансу білого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Функція введення даних пацієнта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цифрового збільшення зображення до не менше ніж у півтора рази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налаштування яскравості зображення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налаштування контрастності </w:t>
            </w:r>
            <w:r w:rsidRPr="00AC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зображення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функції виділення контурів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налаштування кольору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функції зниження шуму у зображенні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скидання пристрою до налаштувань за замовчуванням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Джерело світла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 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налаштування інтенсивності світла вручну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C71CBD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Вага не більше 15,8кг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C71CBD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57C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C71CBD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Аспіраційно / іригаційна помпа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11157C" w:rsidRPr="00AC5BB6" w:rsidRDefault="0011157C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11157C" w:rsidRPr="00AC5BB6" w:rsidRDefault="0011157C" w:rsidP="001115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 xml:space="preserve">Універсальна іригаційна помпа повинна мати  режими урологія, </w:t>
            </w:r>
            <w:proofErr w:type="spellStart"/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артроскопія</w:t>
            </w:r>
            <w:proofErr w:type="spellEnd"/>
            <w:r w:rsidRPr="00AC5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гістероскопія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Енергонезалежна пам'ять для останніх налаштувань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Функція регулювання рівня перепаду перистальтичного тиску в залежності від положення пацієнта.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Функція автоматичного тестування приладу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Можливість підключення пульта керування, що дозволяє на відстані керувати функціями тиску, потоку рідини, старт, стоп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Можливість підключення педалі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Мінімальний тиск</w:t>
            </w:r>
          </w:p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більше 10 </w:t>
            </w:r>
            <w:proofErr w:type="spellStart"/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мм.рт.ст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Максимальний тиск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менше 145 </w:t>
            </w:r>
            <w:proofErr w:type="spellStart"/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мм.рт.ст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Мінімальний потік рідини, що подається</w:t>
            </w:r>
          </w:p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Не більше 0,1 л/хв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Акустичні або візуальні сигнали, що забезпечують правильну установку труб іригації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Стійка медична: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Кількість полиць для обладнання не менше 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numPr>
                <w:ilvl w:val="2"/>
                <w:numId w:val="3"/>
              </w:numPr>
              <w:tabs>
                <w:tab w:val="left" w:pos="284"/>
              </w:tabs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</w:rPr>
              <w:t>Наявність гальм на колесах, не менше ніж на двох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6B3" w:rsidRPr="00AC5BB6" w:rsidTr="000356B3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0356B3" w:rsidRPr="00AC5BB6" w:rsidRDefault="000356B3" w:rsidP="00C71CB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0356B3" w:rsidRPr="00AC5BB6" w:rsidRDefault="000356B3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</w:t>
            </w:r>
            <w:proofErr w:type="spellStart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ібридний</w:t>
            </w:r>
            <w:proofErr w:type="spellEnd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BB6">
              <w:rPr>
                <w:rFonts w:ascii="Times New Roman" w:hAnsi="Times New Roman" w:cs="Times New Roman"/>
                <w:bCs/>
                <w:sz w:val="24"/>
                <w:szCs w:val="24"/>
              </w:rPr>
              <w:t>резектоскоп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356B3" w:rsidRPr="00AC5BB6" w:rsidRDefault="000356B3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B3" w:rsidRPr="00AC5BB6" w:rsidRDefault="000356B3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Робочий елемент гібридного типу з рукояткою для телескопів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Зовнішня трубка безперервного потоку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Внутрішня трубка безперервного потоку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</w:t>
            </w:r>
            <w:proofErr w:type="spellEnd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гінекології, діаметр не більше 3мм, кут бачення не більше 0⁰, довжина не менше 300мм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ВЧ-електрод типу петля вигнута, кут вигину не менше 90⁰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Обтюратор зоровий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Адаптер світлового кабелю, сторона апарата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Адаптер світлового кабелю, сторона ендоскопа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світловода, довжиною не більше 3.5 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AC5BB6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біполярний для </w:t>
            </w:r>
            <w:proofErr w:type="spellStart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резектоскопу</w:t>
            </w:r>
            <w:proofErr w:type="spellEnd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довжина не менше 4м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AC5BB6" w:rsidRDefault="00C71CBD" w:rsidP="00C71C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AC5BB6" w:rsidRDefault="00C71CBD" w:rsidP="00C71CB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356B3" w:rsidRPr="005944B3" w:rsidTr="000356B3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0356B3" w:rsidRPr="00AC5BB6" w:rsidRDefault="000356B3" w:rsidP="00C71CB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0356B3" w:rsidRPr="00AC5BB6" w:rsidRDefault="000356B3" w:rsidP="00C71C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Електрохірургічний</w:t>
            </w:r>
            <w:proofErr w:type="spellEnd"/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апарат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0356B3" w:rsidRPr="00AC5BB6" w:rsidRDefault="000356B3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5B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B3" w:rsidRPr="00C71CBD" w:rsidRDefault="000356B3" w:rsidP="00C71CB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апарат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можливістю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генерування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електричної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потужності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монополярного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біполярного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перетину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коагуляції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режиму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безконтактної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поверхневої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коагуляції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Автоматична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адаптація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потужності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 при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різанні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різних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структур тканин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досягнення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необхідного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ефекту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апарат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мати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можливість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підключення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однопедального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двохпедального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перемикачів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менш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ніж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двох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роз`ємів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підключення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ножних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вимикачів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Кожен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тип ножного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перемикача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повинен автоматично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розпізнаватися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електрохірургічним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апаратом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апарат повинен мати можливість підключення не менш ніж двох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монополярних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інструментів і двох біполярних інструментів.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Розпізнавання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підключених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апараті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відображенням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відповідних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параметрів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мати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своєму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розпорядженні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режими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лігування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судин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Можливість одночасного підключення та активації двох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монополярних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електрохірургічних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інструментів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синхроних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операцій з коагулюванням та препаруванням.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моніторингу нейтрального електроду для зниження ризиків отримання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опіків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 пацієнтом, як для новонароджених так і для дорослих.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візуальних та акустичних сигналів для контролю нейтральних електродів.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 інтегрованої системи безпеки.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Автоматичне функціональне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 апарату.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Можливість виконання біполярної резекції в фізіологічному розчині.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Можливість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біполярних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педалі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з автоматичною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активацією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контакті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з тканиною.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прискореної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або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форсованої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коагуляції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Можливість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виконання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резекції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струмонепровідних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рідинах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Можливість вибору ефектів для різних режимів різання та коагуляції.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Можливість підключення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аргоноплазмово</w:t>
            </w: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блоку</w:t>
            </w: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Наявність режиму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лапароскопії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коагуляції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зупинки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дифузних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кровотеч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Активація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функцій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перетину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ножний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педаллю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так і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кнопковим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перемикачем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 апарат повинен мати у своєму розпорядженні режими</w:t>
            </w: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поліпектомії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Відображення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контакту нейтрального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електроду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роз’єму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вирівнювання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потенціалів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Можливість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створення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збереження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програм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менше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300 шт.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сенсорного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екрану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зручного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налаштування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апарату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потужність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монополярного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різання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менше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350 Ватт.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Частота ВЧ струму не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менше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350 кГц.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val="ru-RU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потужність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біполярного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режиму не </w:t>
            </w:r>
            <w:proofErr w:type="spellStart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менше</w:t>
            </w:r>
            <w:proofErr w:type="spellEnd"/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350 Ватт.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Функція розпізнавання струмів витоку.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переносу </w:t>
            </w: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налаштувань та програм на інші аналогічні апарати за допомого флеш накопичувача або бездротовим способом за допомогою технології </w:t>
            </w: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Відповідність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tabs>
                <w:tab w:val="center" w:pos="2568"/>
              </w:tabs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Відповідність обладнання типу CF з захистом від дефібриляції.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Комплектація: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71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Електрохірургічний</w:t>
            </w:r>
            <w:proofErr w:type="spellEnd"/>
            <w:r w:rsidRPr="00C71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блок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Мережевий кабель, довжиною не менше 4м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Ножний перемикач подвійний з кнопкою, довжина кабелю не менше 4м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для нейтральних електродів, довжиною не менше 4м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CBD" w:rsidRPr="005944B3" w:rsidTr="00C71CBD">
        <w:trPr>
          <w:trHeight w:val="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55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Нейтральний електрод, одноразовий, площею не менше 80 см²</w:t>
            </w:r>
          </w:p>
        </w:tc>
        <w:tc>
          <w:tcPr>
            <w:tcW w:w="2449" w:type="dxa"/>
            <w:shd w:val="clear" w:color="000000" w:fill="FFFFFF"/>
            <w:tcMar>
              <w:left w:w="98" w:type="dxa"/>
            </w:tcMar>
            <w:vAlign w:val="center"/>
          </w:tcPr>
          <w:p w:rsidR="00C71CBD" w:rsidRPr="00C71CBD" w:rsidRDefault="00C71CBD" w:rsidP="00C71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C71CBD" w:rsidRPr="00C71CBD" w:rsidRDefault="00C71CBD" w:rsidP="00C71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C17" w:rsidRPr="000356B3" w:rsidRDefault="000356B3" w:rsidP="00E43F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6B3">
        <w:rPr>
          <w:rFonts w:ascii="Times New Roman" w:hAnsi="Times New Roman"/>
          <w:i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sectPr w:rsidR="00486C17" w:rsidRPr="000356B3" w:rsidSect="005944B3">
      <w:type w:val="continuous"/>
      <w:pgSz w:w="11906" w:h="16838"/>
      <w:pgMar w:top="1135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54A"/>
    <w:multiLevelType w:val="multilevel"/>
    <w:tmpl w:val="005C38F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4733A02"/>
    <w:multiLevelType w:val="hybridMultilevel"/>
    <w:tmpl w:val="16AAEB7C"/>
    <w:lvl w:ilvl="0" w:tplc="50A0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4C52"/>
    <w:multiLevelType w:val="hybridMultilevel"/>
    <w:tmpl w:val="3A985F5A"/>
    <w:lvl w:ilvl="0" w:tplc="F7E238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0AD3"/>
    <w:multiLevelType w:val="hybridMultilevel"/>
    <w:tmpl w:val="D358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054D6A"/>
    <w:multiLevelType w:val="hybridMultilevel"/>
    <w:tmpl w:val="BFE072AC"/>
    <w:lvl w:ilvl="0" w:tplc="731A11E0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40DFE"/>
    <w:multiLevelType w:val="multilevel"/>
    <w:tmpl w:val="31865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9BC1AF0"/>
    <w:multiLevelType w:val="hybridMultilevel"/>
    <w:tmpl w:val="3A16CBE6"/>
    <w:lvl w:ilvl="0" w:tplc="4A4E18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0DBE"/>
    <w:multiLevelType w:val="hybridMultilevel"/>
    <w:tmpl w:val="E96C6F2E"/>
    <w:lvl w:ilvl="0" w:tplc="50A0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3E8C"/>
    <w:rsid w:val="00027172"/>
    <w:rsid w:val="000356B3"/>
    <w:rsid w:val="000473DC"/>
    <w:rsid w:val="00057FBB"/>
    <w:rsid w:val="00061580"/>
    <w:rsid w:val="00061598"/>
    <w:rsid w:val="000833A8"/>
    <w:rsid w:val="00090300"/>
    <w:rsid w:val="0009095C"/>
    <w:rsid w:val="000A6ADE"/>
    <w:rsid w:val="000C3983"/>
    <w:rsid w:val="000D2D18"/>
    <w:rsid w:val="000D73CE"/>
    <w:rsid w:val="000F2CE3"/>
    <w:rsid w:val="0011157C"/>
    <w:rsid w:val="00136E95"/>
    <w:rsid w:val="00136FD9"/>
    <w:rsid w:val="001764F2"/>
    <w:rsid w:val="001A6A14"/>
    <w:rsid w:val="001C2EDE"/>
    <w:rsid w:val="002318EC"/>
    <w:rsid w:val="002520F3"/>
    <w:rsid w:val="00253494"/>
    <w:rsid w:val="0029132E"/>
    <w:rsid w:val="002A3263"/>
    <w:rsid w:val="002B40EA"/>
    <w:rsid w:val="002D3CE2"/>
    <w:rsid w:val="002D4BE1"/>
    <w:rsid w:val="00342F7D"/>
    <w:rsid w:val="00347D5D"/>
    <w:rsid w:val="003607DE"/>
    <w:rsid w:val="00372C69"/>
    <w:rsid w:val="003842E2"/>
    <w:rsid w:val="00386358"/>
    <w:rsid w:val="00394796"/>
    <w:rsid w:val="003C12C4"/>
    <w:rsid w:val="004047E7"/>
    <w:rsid w:val="0040589A"/>
    <w:rsid w:val="00420A07"/>
    <w:rsid w:val="0042425D"/>
    <w:rsid w:val="00426409"/>
    <w:rsid w:val="00433E52"/>
    <w:rsid w:val="0043400E"/>
    <w:rsid w:val="0043719F"/>
    <w:rsid w:val="004821C4"/>
    <w:rsid w:val="00482A88"/>
    <w:rsid w:val="00486C17"/>
    <w:rsid w:val="004D3FDE"/>
    <w:rsid w:val="004E508E"/>
    <w:rsid w:val="004F570D"/>
    <w:rsid w:val="00503E8C"/>
    <w:rsid w:val="005162A6"/>
    <w:rsid w:val="005225C8"/>
    <w:rsid w:val="0053269A"/>
    <w:rsid w:val="0054588B"/>
    <w:rsid w:val="005469BB"/>
    <w:rsid w:val="0056559D"/>
    <w:rsid w:val="005944B3"/>
    <w:rsid w:val="005A2D33"/>
    <w:rsid w:val="005B1E02"/>
    <w:rsid w:val="005B36B1"/>
    <w:rsid w:val="005C2AFC"/>
    <w:rsid w:val="005C2EE0"/>
    <w:rsid w:val="005C7DBF"/>
    <w:rsid w:val="005D2F3C"/>
    <w:rsid w:val="005D50A0"/>
    <w:rsid w:val="00616055"/>
    <w:rsid w:val="00621231"/>
    <w:rsid w:val="0062382C"/>
    <w:rsid w:val="0063085D"/>
    <w:rsid w:val="00667814"/>
    <w:rsid w:val="00676F6C"/>
    <w:rsid w:val="006B22CB"/>
    <w:rsid w:val="00720A77"/>
    <w:rsid w:val="0072115A"/>
    <w:rsid w:val="007465DA"/>
    <w:rsid w:val="0075785D"/>
    <w:rsid w:val="00776609"/>
    <w:rsid w:val="007A3EE8"/>
    <w:rsid w:val="007C0D37"/>
    <w:rsid w:val="007C1689"/>
    <w:rsid w:val="007D5395"/>
    <w:rsid w:val="007E13C9"/>
    <w:rsid w:val="00835207"/>
    <w:rsid w:val="008460D8"/>
    <w:rsid w:val="00847740"/>
    <w:rsid w:val="00857F3E"/>
    <w:rsid w:val="00873824"/>
    <w:rsid w:val="00876FD2"/>
    <w:rsid w:val="008A0692"/>
    <w:rsid w:val="008A3875"/>
    <w:rsid w:val="008C0556"/>
    <w:rsid w:val="008E6024"/>
    <w:rsid w:val="008F0F8B"/>
    <w:rsid w:val="008F6496"/>
    <w:rsid w:val="008F7A29"/>
    <w:rsid w:val="00902D1D"/>
    <w:rsid w:val="00931BE7"/>
    <w:rsid w:val="00946F09"/>
    <w:rsid w:val="009570C1"/>
    <w:rsid w:val="00985468"/>
    <w:rsid w:val="00992F13"/>
    <w:rsid w:val="009B094F"/>
    <w:rsid w:val="009C3AEE"/>
    <w:rsid w:val="00A037D3"/>
    <w:rsid w:val="00A1001E"/>
    <w:rsid w:val="00A41128"/>
    <w:rsid w:val="00A53F4C"/>
    <w:rsid w:val="00A72228"/>
    <w:rsid w:val="00AB6F49"/>
    <w:rsid w:val="00AC1022"/>
    <w:rsid w:val="00AC21B6"/>
    <w:rsid w:val="00AC5BB6"/>
    <w:rsid w:val="00AE4971"/>
    <w:rsid w:val="00AE7D7B"/>
    <w:rsid w:val="00AF606E"/>
    <w:rsid w:val="00B025C0"/>
    <w:rsid w:val="00B14E48"/>
    <w:rsid w:val="00B21A9E"/>
    <w:rsid w:val="00B327FE"/>
    <w:rsid w:val="00B43102"/>
    <w:rsid w:val="00BB5E04"/>
    <w:rsid w:val="00BB65B9"/>
    <w:rsid w:val="00BB72BE"/>
    <w:rsid w:val="00BC4B4E"/>
    <w:rsid w:val="00BD1E0E"/>
    <w:rsid w:val="00BE012D"/>
    <w:rsid w:val="00BE385B"/>
    <w:rsid w:val="00BF0310"/>
    <w:rsid w:val="00C42C67"/>
    <w:rsid w:val="00C50730"/>
    <w:rsid w:val="00C54665"/>
    <w:rsid w:val="00C71CBD"/>
    <w:rsid w:val="00C820B6"/>
    <w:rsid w:val="00C8544D"/>
    <w:rsid w:val="00C866C1"/>
    <w:rsid w:val="00CA008F"/>
    <w:rsid w:val="00CA327C"/>
    <w:rsid w:val="00CC5078"/>
    <w:rsid w:val="00CD0BF7"/>
    <w:rsid w:val="00CE20C4"/>
    <w:rsid w:val="00CE7439"/>
    <w:rsid w:val="00CF6EEE"/>
    <w:rsid w:val="00D06F85"/>
    <w:rsid w:val="00D21EF8"/>
    <w:rsid w:val="00D626C2"/>
    <w:rsid w:val="00D71C03"/>
    <w:rsid w:val="00D763C1"/>
    <w:rsid w:val="00D86FBD"/>
    <w:rsid w:val="00DD5824"/>
    <w:rsid w:val="00DD5FC3"/>
    <w:rsid w:val="00DE288A"/>
    <w:rsid w:val="00E11BEB"/>
    <w:rsid w:val="00E35D46"/>
    <w:rsid w:val="00E36AB3"/>
    <w:rsid w:val="00E43F68"/>
    <w:rsid w:val="00E6162A"/>
    <w:rsid w:val="00E7699F"/>
    <w:rsid w:val="00E76C2C"/>
    <w:rsid w:val="00E87764"/>
    <w:rsid w:val="00E93FB0"/>
    <w:rsid w:val="00EA3BE9"/>
    <w:rsid w:val="00EB4D8C"/>
    <w:rsid w:val="00EE3499"/>
    <w:rsid w:val="00F0514F"/>
    <w:rsid w:val="00F30D6F"/>
    <w:rsid w:val="00F32F72"/>
    <w:rsid w:val="00F356F6"/>
    <w:rsid w:val="00F4161E"/>
    <w:rsid w:val="00F506FA"/>
    <w:rsid w:val="00F5132D"/>
    <w:rsid w:val="00F62076"/>
    <w:rsid w:val="00F6379B"/>
    <w:rsid w:val="00F76324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80C"/>
  <w15:docId w15:val="{9CAD0F89-7491-438A-BB02-91E272A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72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F32F72"/>
    <w:pPr>
      <w:suppressAutoHyphens/>
      <w:spacing w:before="240" w:after="60" w:line="240" w:lineRule="atLeast"/>
      <w:jc w:val="both"/>
      <w:outlineLvl w:val="4"/>
    </w:pPr>
    <w:rPr>
      <w:rFonts w:eastAsia="Calibri" w:cs="Times New Roman"/>
      <w:b/>
      <w:bCs/>
      <w:i/>
      <w:i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2F72"/>
    <w:rPr>
      <w:rFonts w:ascii="Calibri" w:eastAsia="Calibri" w:hAnsi="Calibri" w:cs="Times New Roman"/>
      <w:b/>
      <w:bCs/>
      <w:i/>
      <w:iCs/>
      <w:sz w:val="26"/>
      <w:szCs w:val="26"/>
      <w:lang w:eastAsia="zh-CN"/>
    </w:rPr>
  </w:style>
  <w:style w:type="paragraph" w:customStyle="1" w:styleId="rvps2">
    <w:name w:val="rvps2"/>
    <w:basedOn w:val="a"/>
    <w:rsid w:val="00F32F72"/>
    <w:pPr>
      <w:suppressAutoHyphens/>
      <w:spacing w:before="280" w:after="280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customStyle="1" w:styleId="ListParagraph1">
    <w:name w:val="List Paragraph1"/>
    <w:basedOn w:val="a"/>
    <w:link w:val="ListParagraphChar"/>
    <w:rsid w:val="00F32F72"/>
    <w:pPr>
      <w:suppressAutoHyphens/>
      <w:spacing w:line="240" w:lineRule="atLeast"/>
      <w:ind w:left="720"/>
      <w:jc w:val="both"/>
    </w:pPr>
    <w:rPr>
      <w:rFonts w:ascii="Times New Roman CYR" w:eastAsia="Calibri" w:hAnsi="Times New Roman CYR" w:cs="Times New Roman"/>
      <w:sz w:val="24"/>
      <w:szCs w:val="24"/>
      <w:lang w:val="ru-RU" w:eastAsia="zh-CN"/>
    </w:rPr>
  </w:style>
  <w:style w:type="character" w:customStyle="1" w:styleId="ListParagraphChar">
    <w:name w:val="List Paragraph Char"/>
    <w:link w:val="ListParagraph1"/>
    <w:locked/>
    <w:rsid w:val="00F32F72"/>
    <w:rPr>
      <w:rFonts w:ascii="Times New Roman CYR" w:eastAsia="Calibri" w:hAnsi="Times New Roman CYR" w:cs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902D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5B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BB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уауа</cp:lastModifiedBy>
  <cp:revision>6</cp:revision>
  <cp:lastPrinted>2023-05-23T12:01:00Z</cp:lastPrinted>
  <dcterms:created xsi:type="dcterms:W3CDTF">2020-11-06T10:06:00Z</dcterms:created>
  <dcterms:modified xsi:type="dcterms:W3CDTF">2023-05-24T08:23:00Z</dcterms:modified>
</cp:coreProperties>
</file>