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F1C" w:rsidRPr="004F5F1C" w:rsidRDefault="00C538B2" w:rsidP="004F5F1C">
      <w:pPr>
        <w:spacing w:after="0" w:line="240" w:lineRule="auto"/>
        <w:ind w:left="6521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Додаток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4</w:t>
      </w:r>
    </w:p>
    <w:p w:rsidR="004F5F1C" w:rsidRPr="004F5F1C" w:rsidRDefault="004F5F1C" w:rsidP="004F5F1C">
      <w:pPr>
        <w:tabs>
          <w:tab w:val="left" w:pos="7249"/>
          <w:tab w:val="right" w:pos="9481"/>
          <w:tab w:val="left" w:pos="9921"/>
        </w:tabs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bookmarkStart w:id="0" w:name="_GoBack"/>
      <w:bookmarkEnd w:id="0"/>
    </w:p>
    <w:p w:rsidR="004F5F1C" w:rsidRPr="004F5F1C" w:rsidRDefault="004F5F1C" w:rsidP="004F5F1C">
      <w:pPr>
        <w:tabs>
          <w:tab w:val="left" w:pos="7249"/>
          <w:tab w:val="right" w:pos="9481"/>
          <w:tab w:val="left" w:pos="9921"/>
        </w:tabs>
        <w:spacing w:after="12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4F5F1C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ТЕХНІЧНЕ ЗАВДАННЯ </w:t>
      </w:r>
    </w:p>
    <w:p w:rsidR="004F5F1C" w:rsidRPr="00A42FF4" w:rsidRDefault="004F5F1C" w:rsidP="00BD59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4F5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Предмет закупівлі:</w:t>
      </w:r>
      <w:r w:rsidRPr="004F5F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F10D17" w:rsidRPr="00F10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«Апаратура для підтримування фізіологічних функцій організму: ДК 021:2015 «Єдиний закупівельний словник» - 33180000-5 (</w:t>
      </w:r>
      <w:r w:rsidR="00BD5961" w:rsidRPr="00BD5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33665 - Ендопротез колінного суглоба повний із задньою стабілізацією</w:t>
      </w:r>
      <w:r w:rsidR="00F10D17" w:rsidRPr="00F10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(</w:t>
      </w:r>
      <w:r w:rsidR="00BD5961" w:rsidRPr="00BD5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P0909</w:t>
      </w:r>
      <w:r w:rsidR="00BD5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– </w:t>
      </w:r>
      <w:r w:rsidR="00BD5961" w:rsidRPr="00BD5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Колінні протези</w:t>
      </w:r>
      <w:r w:rsidR="00BD59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)</w:t>
      </w:r>
      <w:r w:rsidR="00F10D17" w:rsidRPr="00F10D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)»</w:t>
      </w:r>
    </w:p>
    <w:p w:rsidR="004F5F1C" w:rsidRDefault="004F5F1C" w:rsidP="004F5F1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4F5F1C" w:rsidRDefault="004F5F1C" w:rsidP="004F5F1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ЗАГАЛЬНІ ВИМОГИ:</w:t>
      </w:r>
    </w:p>
    <w:p w:rsidR="004F5F1C" w:rsidRDefault="004F5F1C" w:rsidP="004F5F1C">
      <w:pPr>
        <w:numPr>
          <w:ilvl w:val="0"/>
          <w:numId w:val="1"/>
        </w:numPr>
        <w:tabs>
          <w:tab w:val="left" w:pos="993"/>
        </w:tabs>
        <w:suppressAutoHyphens/>
        <w:spacing w:after="40" w:line="240" w:lineRule="auto"/>
        <w:ind w:leftChars="-1" w:left="-2" w:firstLineChars="295" w:firstLine="708"/>
        <w:contextualSpacing/>
        <w:jc w:val="both"/>
        <w:outlineLvl w:val="0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 xml:space="preserve">Товар, який запропонований Учасником, має відповідати всім медико–технічним вимогам, викладеним у тендерній документації. </w:t>
      </w:r>
    </w:p>
    <w:p w:rsidR="004F5F1C" w:rsidRDefault="004F5F1C" w:rsidP="004F5F1C">
      <w:pPr>
        <w:suppressAutoHyphens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</w:pPr>
      <w:r w:rsidRPr="004F5F1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Відповідність технічних характеристик, запропонованого Учасником товару, встановленим медико-технічним вимогам (опис предмета закупівлі), викладеним у даному додатку до Тендерної документації, повинна бути обов’язково підтверджена посиланням на відповідний(і) розділ(и), та/або сторінку(и) технічного документу виробника (експлуатаційної документації: настанови (інструкції) з експлуатації (застосування), або технічного опису чи технічних умов, або ін. документів українською мовою) в якому міститься ця інформація разом з додаванням завірених його копій. Підтвердження відповідності технічних характеристик, запропонованого Учасником товару, встановленим медико-технічним вимогам, надається Учасником у формі за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 xml:space="preserve">повненої таблиці наведеної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нище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.</w:t>
      </w:r>
    </w:p>
    <w:p w:rsidR="004F5F1C" w:rsidRDefault="004F5F1C" w:rsidP="004F5F1C">
      <w:pPr>
        <w:suppressAutoHyphens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 xml:space="preserve">2. Товар </w:t>
      </w:r>
      <w:r w:rsidRPr="004F5F1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(складові з яких складається ендопротез)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, який запропонований Учасником, повинен бути внесений до Державного реєстру медичної техніки та виробів медичного призначення у передбаченому законодавством порядку та дозволений до застосування в медичній практиці на території України.</w:t>
      </w:r>
    </w:p>
    <w:p w:rsidR="004F5F1C" w:rsidRDefault="004F5F1C" w:rsidP="004F5F1C">
      <w:pPr>
        <w:suppressAutoHyphens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 xml:space="preserve">На підтвердження Учасник повинен надати копію(ї) документів, що підтверджують  введення в обіг та/або експлуатацію (застосування) медичного виробу </w:t>
      </w:r>
      <w:r w:rsidRPr="004F5F1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(складов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их</w:t>
      </w:r>
      <w:r w:rsidRPr="004F5F1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 xml:space="preserve"> з яких складається ендопротез)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 xml:space="preserve"> відповідно до вимог чинного законодавства (копія сертифікату </w:t>
      </w:r>
      <w:r w:rsidR="003253C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або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 xml:space="preserve"> декларації про відповідність вимогам технічному регламенту щодо медичних виробів).</w:t>
      </w:r>
    </w:p>
    <w:p w:rsidR="004F5F1C" w:rsidRDefault="004F5F1C" w:rsidP="004F5F1C">
      <w:pPr>
        <w:suppressAutoHyphens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3. 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</w:p>
    <w:p w:rsidR="004F5F1C" w:rsidRDefault="004F5F1C" w:rsidP="004F5F1C">
      <w:pPr>
        <w:suppressAutoHyphens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На підтвердження Учасник повинен надати оригінал гарантійного листа виробника (представництва, філії виробника – якщо їх відповідні повноваження поширюються на територію України), або представника, дилера, дистриб'ютора, офіційно уповноваженого на це виробником, яким підтверджується можливість поставки Учасником товару, який є предметом закупівлі цих торгів, у номенклатурі, кількості та в терміни, визначені цією Документацією та пропозицією Учасника. В листі вказується назва замовника торгів, номер оголошення, предмет закупівлі згідно оголошення. Вказані документи надаються українською мовою, в разі якщо, документ написано іноземною мовою, також надається нотаріально посвідчений переклад.</w:t>
      </w:r>
    </w:p>
    <w:p w:rsidR="004F5F1C" w:rsidRDefault="004F5F1C" w:rsidP="004F5F1C">
      <w:pPr>
        <w:suppressAutoHyphens/>
        <w:spacing w:after="40" w:line="240" w:lineRule="auto"/>
        <w:ind w:left="-1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4. Виробництво ендопротезів повинно відповідати міжнародному стандарту якості по системі контролю ISO.</w:t>
      </w:r>
    </w:p>
    <w:p w:rsidR="004F5F1C" w:rsidRDefault="004F5F1C" w:rsidP="004F5F1C">
      <w:pPr>
        <w:suppressAutoHyphens/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ar-SA"/>
        </w:rPr>
        <w:t>На підтвердження Учасник повинен надати у складі тендерної пропозиції відповідний сертифікат ISO.</w:t>
      </w:r>
    </w:p>
    <w:p w:rsidR="004F5F1C" w:rsidRDefault="002565F5" w:rsidP="004F5F1C">
      <w:pPr>
        <w:tabs>
          <w:tab w:val="left" w:pos="14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КІЛЬКІСНІ ВИМОГИ: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79"/>
        <w:gridCol w:w="2409"/>
        <w:gridCol w:w="1843"/>
        <w:gridCol w:w="1418"/>
        <w:gridCol w:w="1275"/>
      </w:tblGrid>
      <w:tr w:rsidR="00A42FF4" w:rsidTr="009413E0">
        <w:trPr>
          <w:trHeight w:val="9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F4" w:rsidRDefault="00A4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F4" w:rsidRDefault="00A4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товару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F4" w:rsidRDefault="00A42FF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та код НК 024:2023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FF4" w:rsidRDefault="00A42FF4">
            <w:pPr>
              <w:spacing w:after="0" w:line="240" w:lineRule="auto"/>
              <w:ind w:left="-106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2FF4" w:rsidRDefault="0018121B">
            <w:pPr>
              <w:spacing w:after="0" w:line="240" w:lineRule="auto"/>
              <w:ind w:left="-106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 та код </w:t>
            </w:r>
            <w:r w:rsidR="00A42FF4">
              <w:rPr>
                <w:rFonts w:ascii="Times New Roman" w:eastAsia="Times New Roman" w:hAnsi="Times New Roman" w:cs="Times New Roman"/>
                <w:sz w:val="24"/>
                <w:szCs w:val="24"/>
              </w:rPr>
              <w:t>НК 031:2024</w:t>
            </w:r>
          </w:p>
          <w:p w:rsidR="00A42FF4" w:rsidRDefault="00A42FF4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F4" w:rsidRDefault="00A4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FF4" w:rsidRDefault="00A42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Кількість </w:t>
            </w:r>
          </w:p>
        </w:tc>
      </w:tr>
      <w:tr w:rsidR="009413E0" w:rsidTr="009413E0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3E0" w:rsidRDefault="00F10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961" w:rsidRDefault="00BD5961" w:rsidP="00BD5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Тотальні ендопротези колінного суглобу цементної фіксації</w:t>
            </w:r>
          </w:p>
          <w:p w:rsidR="009413E0" w:rsidRDefault="00941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3E0" w:rsidRDefault="00BD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33665 - Ендопротез колінного суглоба повний із задньою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стабілізацією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3E0" w:rsidRDefault="00BD5961" w:rsidP="00BD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P0909 – Колінні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протези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3E0" w:rsidRDefault="00456A1B" w:rsidP="00941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3E0" w:rsidRDefault="00BD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2565F5" w:rsidRDefault="002565F5" w:rsidP="002565F5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F1C" w:rsidRDefault="002565F5" w:rsidP="002565F5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565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МЕДИКО-ТЕХНІЧНІ ВИМОГИ</w:t>
      </w:r>
    </w:p>
    <w:p w:rsidR="002565F5" w:rsidRPr="002565F5" w:rsidRDefault="002565F5" w:rsidP="002565F5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2FF4" w:rsidRDefault="00A42FF4" w:rsidP="00A42FF4">
      <w:pPr>
        <w:suppressAutoHyphens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42FF4" w:rsidRPr="00BD5961" w:rsidRDefault="00BD5961" w:rsidP="00F10D17">
      <w:pPr>
        <w:pStyle w:val="a4"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proofErr w:type="spellStart"/>
      <w:r w:rsidRPr="00BD5961">
        <w:rPr>
          <w:rFonts w:ascii="Times New Roman" w:hAnsi="Times New Roman" w:cs="Times New Roman"/>
          <w:b/>
          <w:sz w:val="24"/>
          <w:szCs w:val="24"/>
        </w:rPr>
        <w:t>Тотальні</w:t>
      </w:r>
      <w:proofErr w:type="spellEnd"/>
      <w:r w:rsidRPr="00BD59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961">
        <w:rPr>
          <w:rFonts w:ascii="Times New Roman" w:hAnsi="Times New Roman" w:cs="Times New Roman"/>
          <w:b/>
          <w:sz w:val="24"/>
          <w:szCs w:val="24"/>
        </w:rPr>
        <w:t>ендопротези</w:t>
      </w:r>
      <w:proofErr w:type="spellEnd"/>
      <w:r w:rsidRPr="00BD59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961">
        <w:rPr>
          <w:rFonts w:ascii="Times New Roman" w:hAnsi="Times New Roman" w:cs="Times New Roman"/>
          <w:b/>
          <w:sz w:val="24"/>
          <w:szCs w:val="24"/>
        </w:rPr>
        <w:t>колінного</w:t>
      </w:r>
      <w:proofErr w:type="spellEnd"/>
      <w:r w:rsidRPr="00BD59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961">
        <w:rPr>
          <w:rFonts w:ascii="Times New Roman" w:hAnsi="Times New Roman" w:cs="Times New Roman"/>
          <w:b/>
          <w:sz w:val="24"/>
          <w:szCs w:val="24"/>
        </w:rPr>
        <w:t>суглоба</w:t>
      </w:r>
      <w:proofErr w:type="spellEnd"/>
      <w:r w:rsidRPr="00BD59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961">
        <w:rPr>
          <w:rFonts w:ascii="Times New Roman" w:hAnsi="Times New Roman" w:cs="Times New Roman"/>
          <w:b/>
          <w:sz w:val="24"/>
          <w:szCs w:val="24"/>
        </w:rPr>
        <w:t>цементної</w:t>
      </w:r>
      <w:proofErr w:type="spellEnd"/>
      <w:r w:rsidRPr="00BD59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961">
        <w:rPr>
          <w:rFonts w:ascii="Times New Roman" w:hAnsi="Times New Roman" w:cs="Times New Roman"/>
          <w:b/>
          <w:sz w:val="24"/>
          <w:szCs w:val="24"/>
        </w:rPr>
        <w:t>фіксації</w:t>
      </w:r>
      <w:proofErr w:type="spellEnd"/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961">
        <w:rPr>
          <w:rFonts w:ascii="Times New Roman" w:hAnsi="Times New Roman" w:cs="Times New Roman"/>
          <w:bCs/>
          <w:sz w:val="24"/>
          <w:szCs w:val="24"/>
        </w:rPr>
        <w:t>Конструкція ендопротезу має дозволяти його використання як із збереженням задньої хрестоподібної зв’язки так і без збереження задньої хрестоподібної зв’язки.</w:t>
      </w:r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961">
        <w:rPr>
          <w:rFonts w:ascii="Times New Roman" w:hAnsi="Times New Roman" w:cs="Times New Roman"/>
          <w:bCs/>
          <w:sz w:val="24"/>
          <w:szCs w:val="24"/>
        </w:rPr>
        <w:t>Ендопротези повинні складатися з:</w:t>
      </w:r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961">
        <w:rPr>
          <w:rFonts w:ascii="Times New Roman" w:hAnsi="Times New Roman" w:cs="Times New Roman"/>
          <w:bCs/>
          <w:sz w:val="24"/>
          <w:szCs w:val="24"/>
        </w:rPr>
        <w:t>- Стегнового компоненту – 1 шт.;</w:t>
      </w:r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961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Тібіального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 компоненту – 1 шт.;</w:t>
      </w:r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961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Тібіального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 вкладишу – 1 шт.;</w:t>
      </w:r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961">
        <w:rPr>
          <w:rFonts w:ascii="Times New Roman" w:hAnsi="Times New Roman" w:cs="Times New Roman"/>
          <w:bCs/>
          <w:sz w:val="24"/>
          <w:szCs w:val="24"/>
        </w:rPr>
        <w:t>- Кісткового цементу – 1 шт.</w:t>
      </w:r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961">
        <w:rPr>
          <w:rFonts w:ascii="Times New Roman" w:hAnsi="Times New Roman" w:cs="Times New Roman"/>
          <w:b/>
          <w:sz w:val="24"/>
          <w:szCs w:val="24"/>
        </w:rPr>
        <w:t>Стегновий компонент:</w:t>
      </w:r>
      <w:r w:rsidRPr="00BD5961">
        <w:rPr>
          <w:rFonts w:ascii="Times New Roman" w:hAnsi="Times New Roman" w:cs="Times New Roman"/>
          <w:bCs/>
          <w:sz w:val="24"/>
          <w:szCs w:val="24"/>
        </w:rPr>
        <w:t xml:space="preserve"> стегновий компонент повинен мати не менш як по 5 типорозмірів для лівого та правого суглоба. Поперечний діаметр повинен становити не менше 60 мм для 1 типорозміру та 80 мм для 5 типорозміру та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передньо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-задній від 52 до 71 мм відповідно. Стегновий компонент має бути виготовлений з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CoCr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 сплаву. Має мати незмінний радіус стегнового компонента від 0 до 90 градусів, який забезпечує постійну площу контакту при згинанні та розгинанні. Має мати кут переднього фланця 6 градусів для запобігання врізанню в кістку.</w:t>
      </w:r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D5961">
        <w:rPr>
          <w:rFonts w:ascii="Times New Roman" w:hAnsi="Times New Roman" w:cs="Times New Roman"/>
          <w:b/>
          <w:sz w:val="24"/>
          <w:szCs w:val="24"/>
        </w:rPr>
        <w:t>Тібіальний</w:t>
      </w:r>
      <w:proofErr w:type="spellEnd"/>
      <w:r w:rsidRPr="00BD5961">
        <w:rPr>
          <w:rFonts w:ascii="Times New Roman" w:hAnsi="Times New Roman" w:cs="Times New Roman"/>
          <w:b/>
          <w:sz w:val="24"/>
          <w:szCs w:val="24"/>
        </w:rPr>
        <w:t xml:space="preserve"> компонент:</w:t>
      </w:r>
      <w:r w:rsidRPr="00BD59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тібіальний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 компонент має бути симетричним і мати не менш як 10 типорозмірів, має бути виготовлений з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CoCr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 сплаву. Поперечний діаметр повинен становити не менше 60 мм для 1 типорозміру та 85 мм для 5+ типорозміру та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передньо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-задній від 41 до 58 мм відповідно. Конструкція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тібіального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 компоненту повинна мати вбудований задній схил 3 градуси. Фіксація вкладиша у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тібіальному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 компоненті повинна забезпечуватися запірним механізмом по типу ластівчиного хвоста.</w:t>
      </w:r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D5961">
        <w:rPr>
          <w:rFonts w:ascii="Times New Roman" w:hAnsi="Times New Roman" w:cs="Times New Roman"/>
          <w:b/>
          <w:sz w:val="24"/>
          <w:szCs w:val="24"/>
        </w:rPr>
        <w:t>Тібіальний</w:t>
      </w:r>
      <w:proofErr w:type="spellEnd"/>
      <w:r w:rsidRPr="00BD5961">
        <w:rPr>
          <w:rFonts w:ascii="Times New Roman" w:hAnsi="Times New Roman" w:cs="Times New Roman"/>
          <w:b/>
          <w:sz w:val="24"/>
          <w:szCs w:val="24"/>
        </w:rPr>
        <w:t xml:space="preserve"> вкладиш:</w:t>
      </w:r>
      <w:r w:rsidRPr="00BD5961">
        <w:rPr>
          <w:rFonts w:ascii="Times New Roman" w:hAnsi="Times New Roman" w:cs="Times New Roman"/>
          <w:bCs/>
          <w:sz w:val="24"/>
          <w:szCs w:val="24"/>
        </w:rPr>
        <w:t xml:space="preserve"> вкладиш має бути виготовлений із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надвисокомолекулярного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 поліетилену і мати не менш, як 6 типорозмірів по товщині (10, 12, 14, 17, 20, 25 мм) для лівого та правого суглоба. Повинен мати високий передній край для перешкоджання зсуву стегнового компоненту при ходьбі. </w:t>
      </w:r>
    </w:p>
    <w:p w:rsidR="00BD5961" w:rsidRPr="00BD5961" w:rsidRDefault="00BD5961" w:rsidP="00BD5961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5961">
        <w:rPr>
          <w:rFonts w:ascii="Times New Roman" w:hAnsi="Times New Roman" w:cs="Times New Roman"/>
          <w:b/>
          <w:sz w:val="24"/>
          <w:szCs w:val="24"/>
        </w:rPr>
        <w:t>Кістковий цемент:</w:t>
      </w:r>
      <w:r w:rsidRPr="00BD5961">
        <w:rPr>
          <w:rFonts w:ascii="Times New Roman" w:hAnsi="Times New Roman" w:cs="Times New Roman"/>
          <w:bCs/>
          <w:sz w:val="24"/>
          <w:szCs w:val="24"/>
        </w:rPr>
        <w:t xml:space="preserve"> кістковий цемент повинен складатися з двох компонентів, а саме, з суміші рідкого мономеру (метилметакрилат) (20 мл) і полі (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метилакрилат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/метилметакрилат) у вигляді порошку (40 г). До складу кісткового цементу повинні входити </w:t>
      </w:r>
      <w:proofErr w:type="spellStart"/>
      <w:r w:rsidRPr="00BD5961">
        <w:rPr>
          <w:rFonts w:ascii="Times New Roman" w:hAnsi="Times New Roman" w:cs="Times New Roman"/>
          <w:bCs/>
          <w:sz w:val="24"/>
          <w:szCs w:val="24"/>
        </w:rPr>
        <w:t>рентгенконтрастна</w:t>
      </w:r>
      <w:proofErr w:type="spellEnd"/>
      <w:r w:rsidRPr="00BD5961">
        <w:rPr>
          <w:rFonts w:ascii="Times New Roman" w:hAnsi="Times New Roman" w:cs="Times New Roman"/>
          <w:bCs/>
          <w:sz w:val="24"/>
          <w:szCs w:val="24"/>
        </w:rPr>
        <w:t xml:space="preserve"> речовина та антибіотик.</w:t>
      </w:r>
    </w:p>
    <w:p w:rsidR="00F10D17" w:rsidRDefault="00F10D17" w:rsidP="00F10D17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</w:pPr>
    </w:p>
    <w:p w:rsidR="00F10D17" w:rsidRPr="00F10D17" w:rsidRDefault="00F10D17" w:rsidP="00F10D17">
      <w:pPr>
        <w:widowControl w:val="0"/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</w:pPr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*  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Тендерна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пропозиція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,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що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не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відповідає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медико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-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технічним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вимогам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, буде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відхилена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як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така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,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що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не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відповідає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вимогам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Тендерної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документації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; </w:t>
      </w:r>
    </w:p>
    <w:p w:rsidR="00F10D17" w:rsidRPr="00F10D17" w:rsidRDefault="00F10D17" w:rsidP="00F10D17">
      <w:pPr>
        <w:spacing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>**</w:t>
      </w:r>
      <w:r w:rsidRPr="00F10D17">
        <w:rPr>
          <w:rFonts w:ascii="Times New Roman" w:eastAsia="Times New Roman" w:hAnsi="Times New Roman" w:cs="Times New Roman CYR"/>
          <w:b/>
          <w:bCs/>
          <w:i/>
          <w:iCs/>
          <w:sz w:val="20"/>
          <w:szCs w:val="20"/>
          <w:lang w:val="ru-RU" w:eastAsia="ru-RU"/>
        </w:rPr>
        <w:t xml:space="preserve"> </w:t>
      </w:r>
      <w:r w:rsidRPr="00F10D17">
        <w:rPr>
          <w:rFonts w:ascii="Times New Roman" w:eastAsia="Times New Roman" w:hAnsi="Times New Roman" w:cs="Times New Roman CYR"/>
          <w:bCs/>
          <w:i/>
          <w:iCs/>
          <w:sz w:val="20"/>
          <w:szCs w:val="20"/>
          <w:lang w:val="ru-RU" w:eastAsia="ru-RU"/>
        </w:rPr>
        <w:t xml:space="preserve">У </w:t>
      </w:r>
      <w:proofErr w:type="spellStart"/>
      <w:r w:rsidRPr="00F10D17">
        <w:rPr>
          <w:rFonts w:ascii="Times New Roman" w:eastAsia="Times New Roman" w:hAnsi="Times New Roman" w:cs="Times New Roman CYR"/>
          <w:bCs/>
          <w:i/>
          <w:iCs/>
          <w:sz w:val="20"/>
          <w:szCs w:val="20"/>
          <w:lang w:val="ru-RU" w:eastAsia="ru-RU"/>
        </w:rPr>
        <w:t>разі</w:t>
      </w:r>
      <w:proofErr w:type="spellEnd"/>
      <w:r w:rsidRPr="00F10D17">
        <w:rPr>
          <w:rFonts w:ascii="Times New Roman" w:eastAsia="Times New Roman" w:hAnsi="Times New Roman" w:cs="Times New Roman CYR"/>
          <w:bCs/>
          <w:i/>
          <w:iCs/>
          <w:sz w:val="20"/>
          <w:szCs w:val="20"/>
          <w:lang w:val="ru-RU" w:eastAsia="ru-RU"/>
        </w:rPr>
        <w:t xml:space="preserve">, коли в </w:t>
      </w:r>
      <w:proofErr w:type="spellStart"/>
      <w:r w:rsidRPr="00F10D17">
        <w:rPr>
          <w:rFonts w:ascii="Times New Roman" w:eastAsia="Times New Roman" w:hAnsi="Times New Roman" w:cs="Times New Roman CYR"/>
          <w:bCs/>
          <w:i/>
          <w:iCs/>
          <w:sz w:val="20"/>
          <w:szCs w:val="20"/>
          <w:lang w:val="ru-RU" w:eastAsia="ru-RU"/>
        </w:rPr>
        <w:t>описі</w:t>
      </w:r>
      <w:proofErr w:type="spellEnd"/>
      <w:r w:rsidRPr="00F10D17">
        <w:rPr>
          <w:rFonts w:ascii="Times New Roman" w:eastAsia="Times New Roman" w:hAnsi="Times New Roman" w:cs="Times New Roman CYR"/>
          <w:bCs/>
          <w:i/>
          <w:iCs/>
          <w:sz w:val="20"/>
          <w:szCs w:val="20"/>
          <w:lang w:val="ru-RU" w:eastAsia="ru-RU"/>
        </w:rPr>
        <w:t xml:space="preserve"> предмета </w:t>
      </w:r>
      <w:proofErr w:type="spellStart"/>
      <w:r w:rsidRPr="00F10D17">
        <w:rPr>
          <w:rFonts w:ascii="Times New Roman" w:eastAsia="Times New Roman" w:hAnsi="Times New Roman" w:cs="Times New Roman CYR"/>
          <w:bCs/>
          <w:i/>
          <w:iCs/>
          <w:sz w:val="20"/>
          <w:szCs w:val="20"/>
          <w:lang w:val="ru-RU" w:eastAsia="ru-RU"/>
        </w:rPr>
        <w:t>закупівлі</w:t>
      </w:r>
      <w:proofErr w:type="spellEnd"/>
      <w:r w:rsidRPr="00F10D17">
        <w:rPr>
          <w:rFonts w:ascii="Times New Roman" w:eastAsia="Times New Roman" w:hAnsi="Times New Roman" w:cs="Times New Roman CYR"/>
          <w:bCs/>
          <w:i/>
          <w:iCs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містяться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посилання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на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конкретні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торговельну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марку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чи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фірму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, патент,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конструкцію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або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тип предмета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закупівлі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,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джерело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його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походження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або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виробника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, то разом з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цим</w:t>
      </w:r>
      <w:proofErr w:type="spellEnd"/>
      <w:r w:rsidRPr="00F10D17">
        <w:rPr>
          <w:rFonts w:ascii="Times New Roman" w:eastAsia="Times New Roman" w:hAnsi="Times New Roman" w:cs="Times New Roman CYR"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враховувати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>вираз</w:t>
      </w:r>
      <w:proofErr w:type="spellEnd"/>
      <w:r w:rsidRPr="00F10D17">
        <w:rPr>
          <w:rFonts w:ascii="Times New Roman" w:eastAsia="Times New Roman" w:hAnsi="Times New Roman" w:cs="Times New Roman CYR"/>
          <w:i/>
          <w:sz w:val="20"/>
          <w:szCs w:val="20"/>
          <w:lang w:val="ru-RU" w:eastAsia="ru-RU"/>
        </w:rPr>
        <w:t xml:space="preserve"> </w:t>
      </w:r>
      <w:r w:rsidRPr="00F10D17">
        <w:rPr>
          <w:rFonts w:ascii="Times New Roman" w:eastAsia="Times New Roman" w:hAnsi="Times New Roman" w:cs="Times New Roman CYR"/>
          <w:b/>
          <w:i/>
          <w:sz w:val="20"/>
          <w:szCs w:val="20"/>
          <w:lang w:val="ru-RU" w:eastAsia="ru-RU"/>
        </w:rPr>
        <w:t>"</w:t>
      </w:r>
      <w:proofErr w:type="spellStart"/>
      <w:r w:rsidRPr="00F10D17">
        <w:rPr>
          <w:rFonts w:ascii="Times New Roman" w:eastAsia="Times New Roman" w:hAnsi="Times New Roman" w:cs="Times New Roman CYR"/>
          <w:b/>
          <w:i/>
          <w:sz w:val="20"/>
          <w:szCs w:val="20"/>
          <w:lang w:val="ru-RU" w:eastAsia="ru-RU"/>
        </w:rPr>
        <w:t>або</w:t>
      </w:r>
      <w:proofErr w:type="spellEnd"/>
      <w:r w:rsidRPr="00F10D17">
        <w:rPr>
          <w:rFonts w:ascii="Times New Roman" w:eastAsia="Times New Roman" w:hAnsi="Times New Roman" w:cs="Times New Roman CYR"/>
          <w:b/>
          <w:i/>
          <w:sz w:val="20"/>
          <w:szCs w:val="20"/>
          <w:lang w:val="ru-RU" w:eastAsia="ru-RU"/>
        </w:rPr>
        <w:t xml:space="preserve"> </w:t>
      </w:r>
      <w:proofErr w:type="spellStart"/>
      <w:r w:rsidRPr="00F10D17">
        <w:rPr>
          <w:rFonts w:ascii="Times New Roman" w:eastAsia="Times New Roman" w:hAnsi="Times New Roman" w:cs="Times New Roman CYR"/>
          <w:b/>
          <w:i/>
          <w:sz w:val="20"/>
          <w:szCs w:val="20"/>
          <w:lang w:val="ru-RU" w:eastAsia="ru-RU"/>
        </w:rPr>
        <w:t>еквівалент</w:t>
      </w:r>
      <w:proofErr w:type="spellEnd"/>
      <w:r w:rsidRPr="00F10D17">
        <w:rPr>
          <w:rFonts w:ascii="Times New Roman" w:eastAsia="Times New Roman" w:hAnsi="Times New Roman" w:cs="Times New Roman CYR"/>
          <w:b/>
          <w:i/>
          <w:sz w:val="20"/>
          <w:szCs w:val="20"/>
          <w:lang w:val="ru-RU" w:eastAsia="ru-RU"/>
        </w:rPr>
        <w:t>";</w:t>
      </w:r>
    </w:p>
    <w:p w:rsidR="00FF631F" w:rsidRDefault="00C538B2"/>
    <w:sectPr w:rsidR="00FF631F" w:rsidSect="004F5F1C">
      <w:type w:val="continuous"/>
      <w:pgSz w:w="11900" w:h="16840"/>
      <w:pgMar w:top="709" w:right="837" w:bottom="1244" w:left="1396" w:header="0" w:footer="6" w:gutter="0"/>
      <w:cols w:space="163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A0C4B"/>
    <w:multiLevelType w:val="hybridMultilevel"/>
    <w:tmpl w:val="64ACAD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B4EAB"/>
    <w:multiLevelType w:val="hybridMultilevel"/>
    <w:tmpl w:val="CF185CD4"/>
    <w:lvl w:ilvl="0" w:tplc="8BF85198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C9386A"/>
    <w:multiLevelType w:val="multilevel"/>
    <w:tmpl w:val="DBAE302E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3F5592D"/>
    <w:multiLevelType w:val="hybridMultilevel"/>
    <w:tmpl w:val="CF185CD4"/>
    <w:lvl w:ilvl="0" w:tplc="8BF85198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717183"/>
    <w:multiLevelType w:val="multilevel"/>
    <w:tmpl w:val="7471718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8E"/>
    <w:rsid w:val="000E1312"/>
    <w:rsid w:val="0017761D"/>
    <w:rsid w:val="0018121B"/>
    <w:rsid w:val="002565F5"/>
    <w:rsid w:val="0029048E"/>
    <w:rsid w:val="003253CF"/>
    <w:rsid w:val="00456A1B"/>
    <w:rsid w:val="004F5F1C"/>
    <w:rsid w:val="00577E60"/>
    <w:rsid w:val="008B0F11"/>
    <w:rsid w:val="009413E0"/>
    <w:rsid w:val="00A42FF4"/>
    <w:rsid w:val="00B0765D"/>
    <w:rsid w:val="00BD5961"/>
    <w:rsid w:val="00C538B2"/>
    <w:rsid w:val="00D043D7"/>
    <w:rsid w:val="00F10D17"/>
    <w:rsid w:val="00F25F5B"/>
    <w:rsid w:val="00F9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CA5C"/>
  <w15:docId w15:val="{C4A78324-3467-4BDE-B583-76F22B40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F1C"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Chapter10 Знак,Список уровня 2 Знак,название табл/рис Знак,Абзац списку1 Знак"/>
    <w:link w:val="a4"/>
    <w:uiPriority w:val="34"/>
    <w:locked/>
    <w:rsid w:val="004F5F1C"/>
    <w:rPr>
      <w:rFonts w:ascii="Calibri" w:eastAsia="Times New Roman" w:hAnsi="Calibri" w:cs="Calibri"/>
      <w:lang w:eastAsia="ru-RU"/>
    </w:rPr>
  </w:style>
  <w:style w:type="paragraph" w:styleId="a4">
    <w:name w:val="List Paragraph"/>
    <w:aliases w:val="Chapter10,Список уровня 2,название табл/рис,Абзац списку1"/>
    <w:basedOn w:val="a"/>
    <w:link w:val="a3"/>
    <w:uiPriority w:val="34"/>
    <w:qFormat/>
    <w:rsid w:val="004F5F1C"/>
    <w:pPr>
      <w:ind w:left="720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уауа</cp:lastModifiedBy>
  <cp:revision>11</cp:revision>
  <dcterms:created xsi:type="dcterms:W3CDTF">2026-01-21T14:19:00Z</dcterms:created>
  <dcterms:modified xsi:type="dcterms:W3CDTF">2026-08-03T06:56:00Z</dcterms:modified>
</cp:coreProperties>
</file>